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76" w:rsidRPr="008A69A3" w:rsidRDefault="00625876" w:rsidP="00625876">
      <w:pPr>
        <w:tabs>
          <w:tab w:val="left" w:pos="851"/>
        </w:tabs>
        <w:ind w:left="851" w:hanging="851"/>
        <w:jc w:val="both"/>
        <w:rPr>
          <w:rFonts w:ascii="Calibri" w:hAnsi="Calibri" w:cs="Calibri"/>
          <w:b/>
          <w:sz w:val="22"/>
          <w:szCs w:val="22"/>
          <w:u w:val="single"/>
          <w:lang w:val="en-AU"/>
        </w:rPr>
      </w:pPr>
    </w:p>
    <w:p w:rsidR="00625876" w:rsidRPr="008A69A3" w:rsidRDefault="00625876" w:rsidP="00625876">
      <w:pPr>
        <w:tabs>
          <w:tab w:val="left" w:pos="851"/>
        </w:tabs>
        <w:ind w:left="851" w:hanging="851"/>
        <w:jc w:val="both"/>
        <w:rPr>
          <w:rFonts w:ascii="Calibri" w:hAnsi="Calibri" w:cs="Calibri"/>
          <w:b/>
          <w:sz w:val="28"/>
          <w:lang w:val="en-AU"/>
        </w:rPr>
      </w:pPr>
      <w:r w:rsidRPr="008A69A3">
        <w:rPr>
          <w:rFonts w:ascii="Calibri" w:hAnsi="Calibri" w:cs="Calibri"/>
          <w:sz w:val="28"/>
          <w:lang w:val="en-AU"/>
        </w:rPr>
        <w:tab/>
      </w:r>
      <w:r>
        <w:rPr>
          <w:rFonts w:ascii="Calibri" w:hAnsi="Calibri" w:cs="Calibri"/>
          <w:sz w:val="28"/>
          <w:lang w:val="en-AU"/>
        </w:rPr>
        <w:t xml:space="preserve">                                   </w:t>
      </w:r>
      <w:r w:rsidRPr="008A69A3">
        <w:rPr>
          <w:rFonts w:ascii="Calibri" w:hAnsi="Calibri" w:cs="Calibri"/>
          <w:b/>
          <w:sz w:val="28"/>
          <w:lang w:val="en-AU"/>
        </w:rPr>
        <w:t>Security</w:t>
      </w:r>
    </w:p>
    <w:p w:rsidR="00625876" w:rsidRPr="008A69A3" w:rsidRDefault="00625876" w:rsidP="00625876">
      <w:pPr>
        <w:tabs>
          <w:tab w:val="left" w:pos="851"/>
        </w:tabs>
        <w:ind w:left="851" w:hanging="851"/>
        <w:jc w:val="both"/>
        <w:rPr>
          <w:rFonts w:ascii="Calibri" w:hAnsi="Calibri" w:cs="Calibri"/>
          <w:b/>
          <w:sz w:val="22"/>
          <w:szCs w:val="22"/>
          <w:u w:val="single"/>
          <w:lang w:val="en-AU"/>
        </w:rPr>
      </w:pPr>
    </w:p>
    <w:p w:rsidR="00625876" w:rsidRDefault="00625876" w:rsidP="00625876">
      <w:pPr>
        <w:tabs>
          <w:tab w:val="left" w:pos="851"/>
        </w:tabs>
        <w:ind w:left="851" w:hanging="851"/>
        <w:rPr>
          <w:rFonts w:ascii="Calibri" w:hAnsi="Calibri" w:cs="Calibri"/>
          <w:szCs w:val="28"/>
        </w:rPr>
      </w:pPr>
      <w:r w:rsidRPr="008A69A3">
        <w:rPr>
          <w:rFonts w:ascii="Calibri" w:hAnsi="Calibri" w:cs="Calibri"/>
          <w:szCs w:val="28"/>
        </w:rPr>
        <w:t>Linked to National Quality Framew</w:t>
      </w:r>
      <w:r w:rsidR="00DD79E0">
        <w:rPr>
          <w:rFonts w:ascii="Calibri" w:hAnsi="Calibri" w:cs="Calibri"/>
          <w:szCs w:val="28"/>
        </w:rPr>
        <w:t>ork and Standards – ACECQA 2017</w:t>
      </w:r>
    </w:p>
    <w:p w:rsidR="00DD79E0" w:rsidRDefault="00DD79E0" w:rsidP="00625876">
      <w:pPr>
        <w:tabs>
          <w:tab w:val="left" w:pos="851"/>
        </w:tabs>
        <w:ind w:left="851" w:hanging="851"/>
        <w:rPr>
          <w:rFonts w:ascii="Calibri" w:hAnsi="Calibri" w:cs="Calibri"/>
          <w:szCs w:val="28"/>
        </w:rPr>
      </w:pPr>
    </w:p>
    <w:p w:rsidR="00DD79E0" w:rsidRDefault="00DD79E0" w:rsidP="00DD79E0">
      <w:pPr>
        <w:widowControl w:val="0"/>
        <w:spacing w:after="120" w:line="285" w:lineRule="auto"/>
        <w:rPr>
          <w:rFonts w:ascii="Calibri" w:hAnsi="Calibri" w:cs="Calibri"/>
          <w:b/>
          <w:bCs/>
          <w:i/>
          <w:iCs/>
          <w:color w:val="FFCC00"/>
          <w:kern w:val="28"/>
          <w:sz w:val="20"/>
          <w:szCs w:val="20"/>
        </w:rPr>
      </w:pPr>
      <w:r w:rsidRPr="00DD79E0">
        <w:rPr>
          <w:rFonts w:ascii="Calibri" w:hAnsi="Calibri" w:cs="Calibri"/>
          <w:b/>
          <w:bCs/>
          <w:i/>
          <w:iCs/>
          <w:color w:val="FFCC00"/>
          <w:kern w:val="28"/>
          <w:sz w:val="20"/>
          <w:szCs w:val="20"/>
        </w:rPr>
        <w:t>Quality area 2– Children’s health and safety</w:t>
      </w:r>
    </w:p>
    <w:p w:rsidR="00DD79E0" w:rsidRPr="00DD79E0" w:rsidRDefault="00DD79E0" w:rsidP="00DD79E0">
      <w:pPr>
        <w:widowControl w:val="0"/>
        <w:spacing w:after="120" w:line="285" w:lineRule="auto"/>
        <w:rPr>
          <w:rFonts w:ascii="Calibri" w:hAnsi="Calibri" w:cs="Calibri"/>
          <w:b/>
          <w:bCs/>
          <w:color w:val="FFCC00"/>
          <w:kern w:val="28"/>
          <w:sz w:val="20"/>
          <w:szCs w:val="20"/>
        </w:rPr>
      </w:pPr>
      <w:r w:rsidRPr="00DD79E0">
        <w:rPr>
          <w:rFonts w:ascii="Calibri" w:hAnsi="Calibri" w:cs="Calibri"/>
          <w:b/>
          <w:bCs/>
          <w:color w:val="FFCC00"/>
          <w:kern w:val="28"/>
          <w:sz w:val="20"/>
          <w:szCs w:val="20"/>
        </w:rPr>
        <w:t>2.2 Safety- Each child is protected</w:t>
      </w:r>
    </w:p>
    <w:p w:rsidR="00DD79E0" w:rsidRPr="00DD79E0" w:rsidRDefault="00DD79E0" w:rsidP="00DD79E0">
      <w:pPr>
        <w:widowControl w:val="0"/>
        <w:rPr>
          <w:rFonts w:ascii="Calibri" w:hAnsi="Calibri" w:cs="Calibri"/>
          <w:color w:val="FFCC00"/>
          <w:kern w:val="28"/>
          <w:sz w:val="20"/>
          <w:szCs w:val="20"/>
        </w:rPr>
      </w:pPr>
      <w:r w:rsidRPr="00DD79E0">
        <w:rPr>
          <w:rFonts w:ascii="Calibri" w:hAnsi="Calibri" w:cs="Calibri"/>
          <w:color w:val="000000"/>
          <w:kern w:val="28"/>
          <w:sz w:val="20"/>
          <w:szCs w:val="20"/>
        </w:rPr>
        <w:t> </w:t>
      </w:r>
      <w:r w:rsidRPr="00DD79E0">
        <w:rPr>
          <w:rFonts w:ascii="Calibri" w:hAnsi="Calibri" w:cs="Calibri"/>
          <w:color w:val="FFCC00"/>
          <w:kern w:val="28"/>
          <w:sz w:val="20"/>
          <w:szCs w:val="20"/>
        </w:rPr>
        <w:t>2.2.2 Incident and emergency management</w:t>
      </w:r>
    </w:p>
    <w:p w:rsidR="00DD79E0" w:rsidRPr="00DD79E0" w:rsidRDefault="00DD79E0" w:rsidP="00DD79E0">
      <w:pPr>
        <w:widowControl w:val="0"/>
        <w:spacing w:after="120" w:line="285" w:lineRule="auto"/>
        <w:rPr>
          <w:rFonts w:ascii="Calibri" w:hAnsi="Calibri" w:cs="Calibri"/>
          <w:color w:val="FFCC00"/>
          <w:kern w:val="28"/>
          <w:sz w:val="20"/>
          <w:szCs w:val="20"/>
        </w:rPr>
      </w:pPr>
      <w:r w:rsidRPr="00DD79E0">
        <w:rPr>
          <w:rFonts w:ascii="Calibri" w:hAnsi="Calibri" w:cs="Calibri"/>
          <w:color w:val="FFCC00"/>
          <w:kern w:val="28"/>
          <w:sz w:val="20"/>
          <w:szCs w:val="20"/>
        </w:rPr>
        <w:t>Plans to effectively manage incidents and emergencies are developed in consultation with relevant authorities, practices and implemented.</w:t>
      </w:r>
    </w:p>
    <w:p w:rsidR="00DD79E0" w:rsidRPr="00DD79E0" w:rsidRDefault="00DD79E0" w:rsidP="00DD79E0">
      <w:pPr>
        <w:widowControl w:val="0"/>
        <w:rPr>
          <w:rFonts w:ascii="Calibri" w:hAnsi="Calibri" w:cs="Calibri"/>
          <w:b/>
          <w:bCs/>
          <w:i/>
          <w:iCs/>
          <w:color w:val="3333FF"/>
          <w:kern w:val="28"/>
          <w:sz w:val="20"/>
          <w:szCs w:val="20"/>
          <w:lang w:val="en-AU"/>
        </w:rPr>
      </w:pPr>
      <w:r w:rsidRPr="00DD79E0">
        <w:rPr>
          <w:rFonts w:ascii="Calibri" w:hAnsi="Calibri" w:cs="Calibri"/>
          <w:color w:val="000000"/>
          <w:kern w:val="28"/>
          <w:sz w:val="20"/>
          <w:szCs w:val="20"/>
        </w:rPr>
        <w:t> </w:t>
      </w:r>
      <w:r w:rsidRPr="00DD79E0">
        <w:rPr>
          <w:rFonts w:ascii="Calibri" w:hAnsi="Calibri" w:cs="Calibri"/>
          <w:b/>
          <w:bCs/>
          <w:i/>
          <w:iCs/>
          <w:color w:val="3333FF"/>
          <w:kern w:val="28"/>
          <w:sz w:val="20"/>
          <w:szCs w:val="20"/>
          <w:lang w:val="en-AU"/>
        </w:rPr>
        <w:t xml:space="preserve">Quality Area 7- Governance and Leadership  </w:t>
      </w:r>
    </w:p>
    <w:p w:rsidR="00DD79E0" w:rsidRPr="00DD79E0" w:rsidRDefault="00DD79E0" w:rsidP="00DD79E0">
      <w:pPr>
        <w:widowControl w:val="0"/>
        <w:spacing w:after="120" w:line="285" w:lineRule="auto"/>
        <w:rPr>
          <w:rFonts w:ascii="Calibri" w:hAnsi="Calibri" w:cs="Calibri"/>
          <w:b/>
          <w:bCs/>
          <w:color w:val="3333FF"/>
          <w:kern w:val="28"/>
          <w:sz w:val="20"/>
          <w:szCs w:val="20"/>
          <w:lang w:val="en-AU"/>
        </w:rPr>
      </w:pPr>
      <w:r w:rsidRPr="00DD79E0">
        <w:rPr>
          <w:rFonts w:ascii="Calibri" w:hAnsi="Calibri" w:cs="Calibri"/>
          <w:b/>
          <w:bCs/>
          <w:color w:val="3333FF"/>
          <w:kern w:val="28"/>
          <w:sz w:val="20"/>
          <w:szCs w:val="20"/>
          <w:lang w:val="en-AU"/>
        </w:rPr>
        <w:t xml:space="preserve">7.1 Governance- Governance supports the operation of a quality service </w:t>
      </w:r>
    </w:p>
    <w:p w:rsidR="00DD79E0" w:rsidRPr="00DD79E0" w:rsidRDefault="00DD79E0" w:rsidP="00DD79E0">
      <w:pPr>
        <w:widowControl w:val="0"/>
        <w:rPr>
          <w:rFonts w:ascii="Calibri" w:hAnsi="Calibri" w:cs="Calibri"/>
          <w:color w:val="3333FF"/>
          <w:kern w:val="28"/>
          <w:sz w:val="20"/>
          <w:szCs w:val="20"/>
          <w:lang w:val="en-AU"/>
        </w:rPr>
      </w:pPr>
      <w:r w:rsidRPr="00DD79E0">
        <w:rPr>
          <w:rFonts w:ascii="Calibri" w:hAnsi="Calibri" w:cs="Calibri"/>
          <w:color w:val="000000"/>
          <w:kern w:val="28"/>
          <w:sz w:val="20"/>
          <w:szCs w:val="20"/>
        </w:rPr>
        <w:t> </w:t>
      </w:r>
      <w:r w:rsidRPr="00DD79E0">
        <w:rPr>
          <w:rFonts w:ascii="Calibri" w:hAnsi="Calibri" w:cs="Calibri"/>
          <w:color w:val="3333FF"/>
          <w:kern w:val="28"/>
          <w:sz w:val="20"/>
          <w:szCs w:val="20"/>
          <w:lang w:val="en-AU"/>
        </w:rPr>
        <w:t>7.1.2 Management systems</w:t>
      </w:r>
    </w:p>
    <w:p w:rsidR="00227B2F" w:rsidRPr="00DD79E0" w:rsidRDefault="00DD79E0" w:rsidP="00DD79E0">
      <w:pPr>
        <w:widowControl w:val="0"/>
        <w:spacing w:after="120" w:line="285" w:lineRule="auto"/>
        <w:rPr>
          <w:rFonts w:ascii="Calibri" w:hAnsi="Calibri" w:cs="Calibri"/>
          <w:color w:val="3333FF"/>
          <w:kern w:val="28"/>
          <w:sz w:val="20"/>
          <w:szCs w:val="20"/>
          <w:lang w:val="en-AU"/>
        </w:rPr>
      </w:pPr>
      <w:r w:rsidRPr="00DD79E0">
        <w:rPr>
          <w:rFonts w:ascii="Calibri" w:hAnsi="Calibri" w:cs="Calibri"/>
          <w:color w:val="3333FF"/>
          <w:kern w:val="28"/>
          <w:sz w:val="20"/>
          <w:szCs w:val="20"/>
          <w:lang w:val="en-AU"/>
        </w:rPr>
        <w:t>Systems are in place to manage risk and enable the effective management and operations of a quality service</w:t>
      </w:r>
    </w:p>
    <w:p w:rsidR="00227B2F" w:rsidRPr="00227B2F" w:rsidRDefault="00227B2F" w:rsidP="00227B2F">
      <w:pPr>
        <w:tabs>
          <w:tab w:val="left" w:pos="851"/>
        </w:tabs>
        <w:ind w:left="851" w:hanging="851"/>
        <w:rPr>
          <w:rFonts w:asciiTheme="minorHAnsi" w:hAnsiTheme="minorHAnsi" w:cs="Calibri"/>
          <w:sz w:val="20"/>
          <w:szCs w:val="20"/>
        </w:rPr>
      </w:pPr>
      <w:r w:rsidRPr="00227B2F">
        <w:rPr>
          <w:rFonts w:asciiTheme="minorHAnsi" w:hAnsiTheme="minorHAnsi" w:cs="Calibri"/>
          <w:sz w:val="20"/>
          <w:szCs w:val="20"/>
        </w:rPr>
        <w:t>Linked to Education and Care Services National regulations (2011) and Education and Early Childhood Services</w:t>
      </w:r>
    </w:p>
    <w:p w:rsidR="00227B2F" w:rsidRDefault="00227B2F" w:rsidP="00227B2F">
      <w:pPr>
        <w:tabs>
          <w:tab w:val="left" w:pos="851"/>
        </w:tabs>
        <w:ind w:left="851" w:hanging="851"/>
        <w:rPr>
          <w:rFonts w:asciiTheme="minorHAnsi" w:hAnsiTheme="minorHAnsi" w:cs="Calibri"/>
          <w:sz w:val="20"/>
          <w:szCs w:val="20"/>
        </w:rPr>
      </w:pPr>
      <w:r w:rsidRPr="00227B2F">
        <w:rPr>
          <w:rFonts w:asciiTheme="minorHAnsi" w:hAnsiTheme="minorHAnsi" w:cs="Calibri"/>
          <w:sz w:val="20"/>
          <w:szCs w:val="20"/>
        </w:rPr>
        <w:t>(Registration and Standards) Law 2011</w:t>
      </w:r>
    </w:p>
    <w:p w:rsidR="00227B2F" w:rsidRDefault="00227B2F" w:rsidP="00227B2F">
      <w:pPr>
        <w:tabs>
          <w:tab w:val="left" w:pos="851"/>
        </w:tabs>
        <w:ind w:left="851" w:hanging="851"/>
        <w:rPr>
          <w:rFonts w:asciiTheme="minorHAnsi" w:hAnsiTheme="minorHAnsi" w:cs="Calibri"/>
          <w:b/>
          <w:sz w:val="20"/>
          <w:szCs w:val="20"/>
        </w:rPr>
      </w:pPr>
      <w:r>
        <w:rPr>
          <w:rFonts w:asciiTheme="minorHAnsi" w:hAnsiTheme="minorHAnsi" w:cs="Calibri"/>
          <w:b/>
          <w:sz w:val="20"/>
          <w:szCs w:val="20"/>
        </w:rPr>
        <w:t>Regulation</w:t>
      </w:r>
      <w:r w:rsidR="00DD79E0">
        <w:rPr>
          <w:rFonts w:asciiTheme="minorHAnsi" w:hAnsiTheme="minorHAnsi" w:cs="Calibri"/>
          <w:b/>
          <w:sz w:val="20"/>
          <w:szCs w:val="20"/>
        </w:rPr>
        <w:t xml:space="preserve"> 99, 166</w:t>
      </w:r>
    </w:p>
    <w:p w:rsidR="00227B2F" w:rsidRPr="00227B2F" w:rsidRDefault="00227B2F" w:rsidP="00227B2F">
      <w:pPr>
        <w:tabs>
          <w:tab w:val="left" w:pos="851"/>
        </w:tabs>
        <w:ind w:left="851" w:hanging="851"/>
        <w:rPr>
          <w:rFonts w:asciiTheme="minorHAnsi" w:hAnsiTheme="minorHAnsi" w:cs="Calibri"/>
          <w:b/>
          <w:sz w:val="20"/>
          <w:szCs w:val="20"/>
        </w:rPr>
      </w:pPr>
      <w:r>
        <w:rPr>
          <w:rFonts w:asciiTheme="minorHAnsi" w:hAnsiTheme="minorHAnsi" w:cs="Calibri"/>
          <w:b/>
          <w:sz w:val="20"/>
          <w:szCs w:val="20"/>
        </w:rPr>
        <w:t>Law</w:t>
      </w:r>
      <w:r w:rsidR="00DD79E0">
        <w:rPr>
          <w:rFonts w:asciiTheme="minorHAnsi" w:hAnsiTheme="minorHAnsi" w:cs="Calibri"/>
          <w:b/>
          <w:sz w:val="20"/>
          <w:szCs w:val="20"/>
        </w:rPr>
        <w:t xml:space="preserve"> 51(1</w:t>
      </w:r>
      <w:proofErr w:type="gramStart"/>
      <w:r w:rsidR="00DD79E0">
        <w:rPr>
          <w:rFonts w:asciiTheme="minorHAnsi" w:hAnsiTheme="minorHAnsi" w:cs="Calibri"/>
          <w:b/>
          <w:sz w:val="20"/>
          <w:szCs w:val="20"/>
        </w:rPr>
        <w:t>)(</w:t>
      </w:r>
      <w:proofErr w:type="gramEnd"/>
      <w:r w:rsidR="00DD79E0">
        <w:rPr>
          <w:rFonts w:asciiTheme="minorHAnsi" w:hAnsiTheme="minorHAnsi" w:cs="Calibri"/>
          <w:b/>
          <w:sz w:val="20"/>
          <w:szCs w:val="20"/>
        </w:rPr>
        <w:t>a), 167, 170, 171, 189</w:t>
      </w:r>
    </w:p>
    <w:p w:rsidR="00625876" w:rsidRPr="008A69A3" w:rsidRDefault="00625876" w:rsidP="00227B2F">
      <w:pPr>
        <w:tabs>
          <w:tab w:val="left" w:pos="851"/>
        </w:tabs>
        <w:rPr>
          <w:rFonts w:ascii="Calibri" w:hAnsi="Calibri" w:cs="Calibri"/>
          <w:b/>
          <w:sz w:val="20"/>
          <w:szCs w:val="20"/>
        </w:rPr>
      </w:pPr>
    </w:p>
    <w:p w:rsidR="00625876" w:rsidRPr="008A69A3" w:rsidRDefault="00625876" w:rsidP="00625876">
      <w:pPr>
        <w:tabs>
          <w:tab w:val="left" w:pos="851"/>
        </w:tabs>
        <w:ind w:left="851" w:hanging="851"/>
        <w:jc w:val="both"/>
        <w:rPr>
          <w:rFonts w:ascii="Calibri" w:hAnsi="Calibri" w:cs="Calibri"/>
          <w:b/>
          <w:sz w:val="22"/>
          <w:szCs w:val="22"/>
          <w:u w:val="single"/>
          <w:lang w:val="en-AU"/>
        </w:rPr>
      </w:pPr>
      <w:r w:rsidRPr="008A69A3">
        <w:rPr>
          <w:rFonts w:ascii="Calibri" w:hAnsi="Calibri" w:cs="Calibri"/>
          <w:b/>
          <w:sz w:val="22"/>
          <w:szCs w:val="22"/>
          <w:u w:val="single"/>
          <w:lang w:val="en-AU"/>
        </w:rPr>
        <w:t>Policy statement</w:t>
      </w:r>
    </w:p>
    <w:p w:rsidR="00625876" w:rsidRPr="008A69A3" w:rsidRDefault="00625876" w:rsidP="00625876">
      <w:pPr>
        <w:jc w:val="both"/>
        <w:rPr>
          <w:rFonts w:ascii="Calibri" w:hAnsi="Calibri" w:cs="Calibri"/>
          <w:sz w:val="22"/>
          <w:szCs w:val="22"/>
          <w:lang w:val="en-AU"/>
        </w:rPr>
      </w:pPr>
      <w:r w:rsidRPr="008A69A3">
        <w:rPr>
          <w:rFonts w:ascii="Calibri" w:hAnsi="Calibri" w:cs="Calibri"/>
          <w:sz w:val="22"/>
          <w:szCs w:val="22"/>
          <w:lang w:val="en-AU"/>
        </w:rPr>
        <w:t xml:space="preserve">Toybox CCCC governance committee is committed to the safety and security of children, </w:t>
      </w:r>
      <w:r>
        <w:rPr>
          <w:rFonts w:ascii="Calibri" w:hAnsi="Calibri" w:cs="Calibri"/>
          <w:sz w:val="22"/>
          <w:szCs w:val="22"/>
          <w:lang w:val="en-AU"/>
        </w:rPr>
        <w:t>Educators</w:t>
      </w:r>
      <w:r w:rsidRPr="008A69A3">
        <w:rPr>
          <w:rFonts w:ascii="Calibri" w:hAnsi="Calibri" w:cs="Calibri"/>
          <w:sz w:val="22"/>
          <w:szCs w:val="22"/>
          <w:lang w:val="en-AU"/>
        </w:rPr>
        <w:t>, families and visitors.</w:t>
      </w:r>
    </w:p>
    <w:p w:rsidR="00625876" w:rsidRPr="008A69A3" w:rsidRDefault="00625876" w:rsidP="00625876">
      <w:pPr>
        <w:jc w:val="both"/>
        <w:rPr>
          <w:rFonts w:ascii="Calibri" w:hAnsi="Calibri" w:cs="Calibri"/>
          <w:sz w:val="22"/>
          <w:szCs w:val="22"/>
          <w:lang w:val="en-AU"/>
        </w:rPr>
      </w:pPr>
    </w:p>
    <w:p w:rsidR="00625876" w:rsidRPr="008A69A3" w:rsidRDefault="00625876" w:rsidP="00625876">
      <w:pPr>
        <w:jc w:val="both"/>
        <w:rPr>
          <w:rFonts w:ascii="Calibri" w:hAnsi="Calibri" w:cs="Calibri"/>
          <w:b/>
          <w:sz w:val="22"/>
          <w:szCs w:val="22"/>
          <w:u w:val="single"/>
          <w:lang w:val="en-AU"/>
        </w:rPr>
      </w:pPr>
      <w:r w:rsidRPr="008A69A3">
        <w:rPr>
          <w:rFonts w:ascii="Calibri" w:hAnsi="Calibri" w:cs="Calibri"/>
          <w:b/>
          <w:sz w:val="22"/>
          <w:szCs w:val="22"/>
          <w:u w:val="single"/>
          <w:lang w:val="en-AU"/>
        </w:rPr>
        <w:t>Implementation</w:t>
      </w:r>
    </w:p>
    <w:p w:rsidR="00625876" w:rsidRPr="008A69A3" w:rsidRDefault="00625876" w:rsidP="00625876">
      <w:pPr>
        <w:jc w:val="both"/>
        <w:rPr>
          <w:rFonts w:ascii="Calibri" w:hAnsi="Calibri" w:cs="Calibri"/>
          <w:b/>
          <w:sz w:val="22"/>
          <w:szCs w:val="22"/>
          <w:lang w:val="en-AU"/>
        </w:rPr>
      </w:pPr>
      <w:r w:rsidRPr="008A69A3">
        <w:rPr>
          <w:rFonts w:ascii="Calibri" w:hAnsi="Calibri" w:cs="Calibri"/>
          <w:sz w:val="22"/>
          <w:szCs w:val="22"/>
          <w:lang w:val="en-AU"/>
        </w:rPr>
        <w:t>People with concerns are invited to raise them with the Director or a governance committee member. Items so raised will be considered at the next governance committee meeting, or sooner if considered to be urgent</w:t>
      </w:r>
      <w:r w:rsidRPr="008A69A3">
        <w:rPr>
          <w:rFonts w:ascii="Calibri" w:hAnsi="Calibri" w:cs="Calibri"/>
          <w:b/>
          <w:sz w:val="22"/>
          <w:szCs w:val="22"/>
          <w:lang w:val="en-AU"/>
        </w:rPr>
        <w:t>.</w:t>
      </w:r>
    </w:p>
    <w:p w:rsidR="00625876" w:rsidRPr="008A69A3" w:rsidRDefault="00625876" w:rsidP="00625876">
      <w:pPr>
        <w:jc w:val="both"/>
        <w:rPr>
          <w:rFonts w:ascii="Calibri" w:hAnsi="Calibri" w:cs="Calibri"/>
          <w:sz w:val="22"/>
          <w:szCs w:val="22"/>
          <w:lang w:val="en-AU"/>
        </w:rPr>
      </w:pPr>
    </w:p>
    <w:p w:rsidR="00625876" w:rsidRPr="008A69A3" w:rsidRDefault="00625876" w:rsidP="00625876">
      <w:pPr>
        <w:jc w:val="both"/>
        <w:rPr>
          <w:rFonts w:ascii="Calibri" w:hAnsi="Calibri" w:cs="Calibri"/>
          <w:sz w:val="22"/>
          <w:szCs w:val="22"/>
          <w:lang w:val="en-AU"/>
        </w:rPr>
      </w:pPr>
      <w:r w:rsidRPr="008A69A3">
        <w:rPr>
          <w:rFonts w:ascii="Calibri" w:hAnsi="Calibri" w:cs="Calibri"/>
          <w:sz w:val="22"/>
          <w:szCs w:val="22"/>
          <w:lang w:val="en-AU"/>
        </w:rPr>
        <w:t xml:space="preserve">The Director will ensure that external lighting is operating and suitable to light parents, children and </w:t>
      </w:r>
      <w:r>
        <w:rPr>
          <w:rFonts w:ascii="Calibri" w:hAnsi="Calibri" w:cs="Calibri"/>
          <w:sz w:val="22"/>
          <w:szCs w:val="22"/>
          <w:lang w:val="en-AU"/>
        </w:rPr>
        <w:t>Educators</w:t>
      </w:r>
      <w:r w:rsidRPr="008A69A3">
        <w:rPr>
          <w:rFonts w:ascii="Calibri" w:hAnsi="Calibri" w:cs="Calibri"/>
          <w:sz w:val="22"/>
          <w:szCs w:val="22"/>
          <w:lang w:val="en-AU"/>
        </w:rPr>
        <w:t xml:space="preserve"> to their cars when it is dark.</w:t>
      </w:r>
    </w:p>
    <w:p w:rsidR="00625876" w:rsidRPr="008A69A3" w:rsidRDefault="00625876" w:rsidP="00625876">
      <w:pPr>
        <w:jc w:val="both"/>
        <w:rPr>
          <w:rFonts w:ascii="Calibri" w:hAnsi="Calibri" w:cs="Calibri"/>
          <w:sz w:val="22"/>
          <w:szCs w:val="22"/>
          <w:lang w:val="en-AU"/>
        </w:rPr>
      </w:pPr>
      <w:r>
        <w:rPr>
          <w:rFonts w:ascii="Calibri" w:hAnsi="Calibri" w:cs="Calibri"/>
          <w:sz w:val="22"/>
          <w:szCs w:val="22"/>
          <w:lang w:val="en-AU"/>
        </w:rPr>
        <w:t>Educators</w:t>
      </w:r>
      <w:r w:rsidRPr="008A69A3">
        <w:rPr>
          <w:rFonts w:ascii="Calibri" w:hAnsi="Calibri" w:cs="Calibri"/>
          <w:sz w:val="22"/>
          <w:szCs w:val="22"/>
          <w:lang w:val="en-AU"/>
        </w:rPr>
        <w:t xml:space="preserve"> will be encouraged to walk to the bottom carpark together when they are on the late shift.</w:t>
      </w:r>
    </w:p>
    <w:p w:rsidR="00625876" w:rsidRPr="008A69A3" w:rsidRDefault="00625876" w:rsidP="00625876">
      <w:pPr>
        <w:jc w:val="both"/>
        <w:rPr>
          <w:rFonts w:ascii="Calibri" w:hAnsi="Calibri" w:cs="Calibri"/>
          <w:sz w:val="22"/>
          <w:szCs w:val="22"/>
          <w:lang w:val="en-AU"/>
        </w:rPr>
      </w:pPr>
      <w:r w:rsidRPr="008A69A3">
        <w:rPr>
          <w:rFonts w:ascii="Calibri" w:hAnsi="Calibri" w:cs="Calibri"/>
          <w:sz w:val="22"/>
          <w:szCs w:val="22"/>
          <w:lang w:val="en-AU"/>
        </w:rPr>
        <w:t>Suspicious activity, within and in the vicinity of the centre, will be reported to the Director or directly to the police.</w:t>
      </w:r>
    </w:p>
    <w:p w:rsidR="00625876" w:rsidRDefault="00625876" w:rsidP="00227B2F">
      <w:pPr>
        <w:jc w:val="both"/>
        <w:rPr>
          <w:rFonts w:ascii="Calibri" w:hAnsi="Calibri" w:cs="Calibri"/>
          <w:sz w:val="22"/>
          <w:szCs w:val="22"/>
          <w:lang w:val="en-AU"/>
        </w:rPr>
      </w:pPr>
      <w:r w:rsidRPr="008A69A3">
        <w:rPr>
          <w:rFonts w:ascii="Calibri" w:hAnsi="Calibri" w:cs="Calibri"/>
          <w:sz w:val="22"/>
          <w:szCs w:val="22"/>
          <w:lang w:val="en-AU"/>
        </w:rPr>
        <w:t xml:space="preserve">The subject of safety and security will be agenda items at </w:t>
      </w:r>
      <w:r>
        <w:rPr>
          <w:rFonts w:ascii="Calibri" w:hAnsi="Calibri" w:cs="Calibri"/>
          <w:sz w:val="22"/>
          <w:szCs w:val="22"/>
          <w:lang w:val="en-AU"/>
        </w:rPr>
        <w:t>Centre</w:t>
      </w:r>
      <w:r w:rsidRPr="008A69A3">
        <w:rPr>
          <w:rFonts w:ascii="Calibri" w:hAnsi="Calibri" w:cs="Calibri"/>
          <w:sz w:val="22"/>
          <w:szCs w:val="22"/>
          <w:lang w:val="en-AU"/>
        </w:rPr>
        <w:t xml:space="preserve"> and governance committee meetings.</w:t>
      </w:r>
    </w:p>
    <w:p w:rsidR="00DD79E0" w:rsidRDefault="00DD79E0" w:rsidP="00227B2F">
      <w:pPr>
        <w:jc w:val="both"/>
        <w:rPr>
          <w:rFonts w:ascii="Calibri" w:hAnsi="Calibri" w:cs="Calibri"/>
          <w:sz w:val="22"/>
          <w:szCs w:val="22"/>
          <w:lang w:val="en-AU"/>
        </w:rPr>
      </w:pPr>
      <w:r>
        <w:rPr>
          <w:rFonts w:ascii="Calibri" w:hAnsi="Calibri" w:cs="Calibri"/>
          <w:sz w:val="22"/>
          <w:szCs w:val="22"/>
          <w:lang w:val="en-AU"/>
        </w:rPr>
        <w:t xml:space="preserve">Staff may let someone into the building after following these steps </w:t>
      </w:r>
    </w:p>
    <w:p w:rsidR="00DD79E0" w:rsidRDefault="00DD79E0" w:rsidP="00DD79E0">
      <w:pPr>
        <w:pStyle w:val="ListParagraph"/>
        <w:numPr>
          <w:ilvl w:val="0"/>
          <w:numId w:val="2"/>
        </w:numPr>
        <w:jc w:val="both"/>
        <w:rPr>
          <w:rFonts w:ascii="Calibri" w:hAnsi="Calibri" w:cs="Calibri"/>
          <w:sz w:val="22"/>
          <w:szCs w:val="22"/>
          <w:lang w:val="en-AU"/>
        </w:rPr>
      </w:pPr>
      <w:r>
        <w:rPr>
          <w:rFonts w:ascii="Calibri" w:hAnsi="Calibri" w:cs="Calibri"/>
          <w:sz w:val="22"/>
          <w:szCs w:val="22"/>
          <w:lang w:val="en-AU"/>
        </w:rPr>
        <w:t xml:space="preserve">If someone has rung the bell at the front door and you do not know who it is, request identification and for them to look at the camera. </w:t>
      </w:r>
    </w:p>
    <w:p w:rsidR="00DD79E0" w:rsidRDefault="00DD79E0" w:rsidP="00DD79E0">
      <w:pPr>
        <w:pStyle w:val="ListParagraph"/>
        <w:numPr>
          <w:ilvl w:val="0"/>
          <w:numId w:val="2"/>
        </w:numPr>
        <w:jc w:val="both"/>
        <w:rPr>
          <w:rFonts w:ascii="Calibri" w:hAnsi="Calibri" w:cs="Calibri"/>
          <w:sz w:val="22"/>
          <w:szCs w:val="22"/>
          <w:lang w:val="en-AU"/>
        </w:rPr>
      </w:pPr>
      <w:r>
        <w:rPr>
          <w:rFonts w:ascii="Calibri" w:hAnsi="Calibri" w:cs="Calibri"/>
          <w:sz w:val="22"/>
          <w:szCs w:val="22"/>
          <w:lang w:val="en-AU"/>
        </w:rPr>
        <w:t>If you still don’t know who they are, go directly to the door and physically let them in if you can leave the room. Alternatively let them know you cannot leave the room and they will ask someone else to come meet them at the door</w:t>
      </w:r>
    </w:p>
    <w:p w:rsidR="00DD79E0" w:rsidRDefault="00DD79E0" w:rsidP="00DD79E0">
      <w:pPr>
        <w:pStyle w:val="ListParagraph"/>
        <w:numPr>
          <w:ilvl w:val="0"/>
          <w:numId w:val="2"/>
        </w:numPr>
        <w:jc w:val="both"/>
        <w:rPr>
          <w:rFonts w:ascii="Calibri" w:hAnsi="Calibri" w:cs="Calibri"/>
          <w:sz w:val="22"/>
          <w:szCs w:val="22"/>
          <w:lang w:val="en-AU"/>
        </w:rPr>
      </w:pPr>
      <w:r>
        <w:rPr>
          <w:rFonts w:ascii="Calibri" w:hAnsi="Calibri" w:cs="Calibri"/>
          <w:sz w:val="22"/>
          <w:szCs w:val="22"/>
          <w:lang w:val="en-AU"/>
        </w:rPr>
        <w:t xml:space="preserve">Ask for ID (photo) if they are collecting a child for the first time </w:t>
      </w:r>
    </w:p>
    <w:p w:rsidR="00DD79E0" w:rsidRDefault="00DD79E0" w:rsidP="00DD79E0">
      <w:pPr>
        <w:pStyle w:val="ListParagraph"/>
        <w:numPr>
          <w:ilvl w:val="0"/>
          <w:numId w:val="2"/>
        </w:numPr>
        <w:jc w:val="both"/>
        <w:rPr>
          <w:rFonts w:ascii="Calibri" w:hAnsi="Calibri" w:cs="Calibri"/>
          <w:sz w:val="22"/>
          <w:szCs w:val="22"/>
          <w:lang w:val="en-AU"/>
        </w:rPr>
      </w:pPr>
      <w:r>
        <w:rPr>
          <w:rFonts w:ascii="Calibri" w:hAnsi="Calibri" w:cs="Calibri"/>
          <w:sz w:val="22"/>
          <w:szCs w:val="22"/>
          <w:lang w:val="en-AU"/>
        </w:rPr>
        <w:t xml:space="preserve">If they are a visitor inform them to remain in the foyer and phone rooms to find where Director or Assistant Director (or </w:t>
      </w:r>
      <w:proofErr w:type="gramStart"/>
      <w:r>
        <w:rPr>
          <w:rFonts w:ascii="Calibri" w:hAnsi="Calibri" w:cs="Calibri"/>
          <w:sz w:val="22"/>
          <w:szCs w:val="22"/>
          <w:lang w:val="en-AU"/>
        </w:rPr>
        <w:t>Certified</w:t>
      </w:r>
      <w:proofErr w:type="gramEnd"/>
      <w:r>
        <w:rPr>
          <w:rFonts w:ascii="Calibri" w:hAnsi="Calibri" w:cs="Calibri"/>
          <w:sz w:val="22"/>
          <w:szCs w:val="22"/>
          <w:lang w:val="en-AU"/>
        </w:rPr>
        <w:t xml:space="preserve"> supervisor) is. Do not leave them alone </w:t>
      </w:r>
    </w:p>
    <w:p w:rsidR="00DD79E0" w:rsidRDefault="00DD79E0" w:rsidP="00DD79E0">
      <w:pPr>
        <w:pStyle w:val="ListParagraph"/>
        <w:numPr>
          <w:ilvl w:val="0"/>
          <w:numId w:val="2"/>
        </w:numPr>
        <w:jc w:val="both"/>
        <w:rPr>
          <w:rFonts w:ascii="Calibri" w:hAnsi="Calibri" w:cs="Calibri"/>
          <w:sz w:val="22"/>
          <w:szCs w:val="22"/>
          <w:lang w:val="en-AU"/>
        </w:rPr>
      </w:pPr>
      <w:r>
        <w:rPr>
          <w:rFonts w:ascii="Calibri" w:hAnsi="Calibri" w:cs="Calibri"/>
          <w:sz w:val="22"/>
          <w:szCs w:val="22"/>
          <w:lang w:val="en-AU"/>
        </w:rPr>
        <w:t xml:space="preserve">They will need to sign in and be escorted to wherever they need to go </w:t>
      </w:r>
    </w:p>
    <w:p w:rsidR="00DD79E0" w:rsidRDefault="00DD79E0" w:rsidP="00DD79E0">
      <w:pPr>
        <w:pStyle w:val="ListParagraph"/>
        <w:numPr>
          <w:ilvl w:val="0"/>
          <w:numId w:val="2"/>
        </w:numPr>
        <w:jc w:val="both"/>
        <w:rPr>
          <w:rFonts w:ascii="Calibri" w:hAnsi="Calibri" w:cs="Calibri"/>
          <w:sz w:val="22"/>
          <w:szCs w:val="22"/>
          <w:lang w:val="en-AU"/>
        </w:rPr>
      </w:pPr>
      <w:r>
        <w:rPr>
          <w:rFonts w:ascii="Calibri" w:hAnsi="Calibri" w:cs="Calibri"/>
          <w:sz w:val="22"/>
          <w:szCs w:val="22"/>
          <w:lang w:val="en-AU"/>
        </w:rPr>
        <w:t>If the person is a new family they will be escorted to the room where their child will commence care</w:t>
      </w:r>
    </w:p>
    <w:p w:rsidR="00DD79E0" w:rsidRDefault="00DD79E0" w:rsidP="00DD79E0">
      <w:pPr>
        <w:jc w:val="both"/>
        <w:rPr>
          <w:rFonts w:ascii="Calibri" w:hAnsi="Calibri" w:cs="Calibri"/>
          <w:sz w:val="22"/>
          <w:szCs w:val="22"/>
          <w:lang w:val="en-AU"/>
        </w:rPr>
      </w:pPr>
      <w:r>
        <w:rPr>
          <w:rFonts w:ascii="Calibri" w:hAnsi="Calibri" w:cs="Calibri"/>
          <w:sz w:val="22"/>
          <w:szCs w:val="22"/>
          <w:lang w:val="en-AU"/>
        </w:rPr>
        <w:lastRenderedPageBreak/>
        <w:t xml:space="preserve">All gates will remain locked and keys be kept in a consistent place during the day for access. On closing the centre these keys must go inside </w:t>
      </w:r>
    </w:p>
    <w:p w:rsidR="00DD79E0" w:rsidRDefault="004C7698" w:rsidP="00DD79E0">
      <w:pPr>
        <w:jc w:val="both"/>
        <w:rPr>
          <w:rFonts w:ascii="Calibri" w:hAnsi="Calibri" w:cs="Calibri"/>
          <w:sz w:val="22"/>
          <w:szCs w:val="22"/>
          <w:lang w:val="en-AU"/>
        </w:rPr>
      </w:pPr>
      <w:r>
        <w:rPr>
          <w:rFonts w:ascii="Calibri" w:hAnsi="Calibri" w:cs="Calibri"/>
          <w:sz w:val="22"/>
          <w:szCs w:val="22"/>
          <w:lang w:val="en-AU"/>
        </w:rPr>
        <w:t xml:space="preserve">Staff room door/screen door must remain locked at all times. </w:t>
      </w:r>
    </w:p>
    <w:p w:rsidR="004C7698" w:rsidRDefault="004C7698" w:rsidP="00DD79E0">
      <w:pPr>
        <w:jc w:val="both"/>
        <w:rPr>
          <w:rFonts w:ascii="Calibri" w:hAnsi="Calibri" w:cs="Calibri"/>
          <w:sz w:val="22"/>
          <w:szCs w:val="22"/>
          <w:lang w:val="en-AU"/>
        </w:rPr>
      </w:pPr>
      <w:r>
        <w:rPr>
          <w:rFonts w:ascii="Calibri" w:hAnsi="Calibri" w:cs="Calibri"/>
          <w:sz w:val="22"/>
          <w:szCs w:val="22"/>
          <w:lang w:val="en-AU"/>
        </w:rPr>
        <w:t>Exit door to bins must be kept locked at all times. Once you have exited the building to put rubbish in the bin, be sure to lock it after you</w:t>
      </w:r>
    </w:p>
    <w:p w:rsidR="004C7698" w:rsidRDefault="004C7698" w:rsidP="00DD79E0">
      <w:pPr>
        <w:jc w:val="both"/>
        <w:rPr>
          <w:rFonts w:ascii="Calibri" w:hAnsi="Calibri" w:cs="Calibri"/>
          <w:sz w:val="22"/>
          <w:szCs w:val="22"/>
          <w:lang w:val="en-AU"/>
        </w:rPr>
      </w:pPr>
      <w:r>
        <w:rPr>
          <w:rFonts w:ascii="Calibri" w:hAnsi="Calibri" w:cs="Calibri"/>
          <w:sz w:val="22"/>
          <w:szCs w:val="22"/>
          <w:lang w:val="en-AU"/>
        </w:rPr>
        <w:t>Gates must be checked before children being allowed in the outside area to ensure they are locked and secure</w:t>
      </w:r>
    </w:p>
    <w:p w:rsidR="004C7698" w:rsidRDefault="004C7698" w:rsidP="00DD79E0">
      <w:pPr>
        <w:jc w:val="both"/>
        <w:rPr>
          <w:rFonts w:ascii="Calibri" w:hAnsi="Calibri" w:cs="Calibri"/>
          <w:sz w:val="22"/>
          <w:szCs w:val="22"/>
          <w:lang w:val="en-AU"/>
        </w:rPr>
      </w:pPr>
      <w:r>
        <w:rPr>
          <w:rFonts w:ascii="Calibri" w:hAnsi="Calibri" w:cs="Calibri"/>
          <w:sz w:val="22"/>
          <w:szCs w:val="22"/>
          <w:lang w:val="en-AU"/>
        </w:rPr>
        <w:t xml:space="preserve">A full lock down procedure will be put into effect if you believe children to be at risk while outside. Please refer to Emergency Management and evacuation Policy </w:t>
      </w:r>
    </w:p>
    <w:p w:rsidR="004C7698" w:rsidRDefault="004C7698" w:rsidP="00DD79E0">
      <w:pPr>
        <w:jc w:val="both"/>
        <w:rPr>
          <w:rFonts w:ascii="Calibri" w:hAnsi="Calibri" w:cs="Calibri"/>
          <w:sz w:val="22"/>
          <w:szCs w:val="22"/>
          <w:lang w:val="en-AU"/>
        </w:rPr>
      </w:pPr>
      <w:r>
        <w:rPr>
          <w:rFonts w:ascii="Calibri" w:hAnsi="Calibri" w:cs="Calibri"/>
          <w:sz w:val="22"/>
          <w:szCs w:val="22"/>
          <w:lang w:val="en-AU"/>
        </w:rPr>
        <w:t xml:space="preserve">A full lock down procedure will occur if the front office believe there to be a risk to children and staff internally – Please refer to Emergency Management and evacuation Policy  </w:t>
      </w:r>
    </w:p>
    <w:p w:rsidR="004C7698" w:rsidRDefault="004C7698" w:rsidP="00DD79E0">
      <w:pPr>
        <w:jc w:val="both"/>
        <w:rPr>
          <w:rFonts w:ascii="Calibri" w:hAnsi="Calibri" w:cs="Calibri"/>
          <w:sz w:val="22"/>
          <w:szCs w:val="22"/>
          <w:lang w:val="en-AU"/>
        </w:rPr>
      </w:pPr>
      <w:r>
        <w:rPr>
          <w:rFonts w:ascii="Calibri" w:hAnsi="Calibri" w:cs="Calibri"/>
          <w:sz w:val="22"/>
          <w:szCs w:val="22"/>
          <w:lang w:val="en-AU"/>
        </w:rPr>
        <w:t xml:space="preserve">Staff will NOT breach confidentiality as this can affect the security of Toybox </w:t>
      </w:r>
    </w:p>
    <w:p w:rsidR="004C7698" w:rsidRDefault="004C7698" w:rsidP="00DD79E0">
      <w:pPr>
        <w:jc w:val="both"/>
        <w:rPr>
          <w:rFonts w:ascii="Calibri" w:hAnsi="Calibri" w:cs="Calibri"/>
          <w:sz w:val="22"/>
          <w:szCs w:val="22"/>
          <w:lang w:val="en-AU"/>
        </w:rPr>
      </w:pPr>
      <w:r>
        <w:rPr>
          <w:rFonts w:ascii="Calibri" w:hAnsi="Calibri" w:cs="Calibri"/>
          <w:sz w:val="22"/>
          <w:szCs w:val="22"/>
          <w:lang w:val="en-AU"/>
        </w:rPr>
        <w:t>Staff with keys and a code will not enter the building on weekends or out of hours without prior consent from the Director or Assistant Director</w:t>
      </w:r>
    </w:p>
    <w:p w:rsidR="004C7698" w:rsidRDefault="004C7698" w:rsidP="00DD79E0">
      <w:pPr>
        <w:jc w:val="both"/>
        <w:rPr>
          <w:rFonts w:ascii="Calibri" w:hAnsi="Calibri" w:cs="Calibri"/>
          <w:sz w:val="22"/>
          <w:szCs w:val="22"/>
          <w:lang w:val="en-AU"/>
        </w:rPr>
      </w:pPr>
      <w:r>
        <w:rPr>
          <w:rFonts w:ascii="Calibri" w:hAnsi="Calibri" w:cs="Calibri"/>
          <w:sz w:val="22"/>
          <w:szCs w:val="22"/>
          <w:lang w:val="en-AU"/>
        </w:rPr>
        <w:t xml:space="preserve">Staff will not bring anyone onsite not employed with Toybox without prior consultation and permission </w:t>
      </w:r>
      <w:bookmarkStart w:id="0" w:name="_GoBack"/>
      <w:bookmarkEnd w:id="0"/>
      <w:r>
        <w:rPr>
          <w:rFonts w:ascii="Calibri" w:hAnsi="Calibri" w:cs="Calibri"/>
          <w:sz w:val="22"/>
          <w:szCs w:val="22"/>
          <w:lang w:val="en-AU"/>
        </w:rPr>
        <w:t xml:space="preserve"> </w:t>
      </w:r>
    </w:p>
    <w:p w:rsidR="004C7698" w:rsidRPr="00DD79E0" w:rsidRDefault="004C7698" w:rsidP="00DD79E0">
      <w:pPr>
        <w:jc w:val="both"/>
        <w:rPr>
          <w:rFonts w:ascii="Calibri" w:hAnsi="Calibri" w:cs="Calibri"/>
          <w:sz w:val="22"/>
          <w:szCs w:val="22"/>
          <w:lang w:val="en-AU"/>
        </w:rPr>
      </w:pPr>
    </w:p>
    <w:p w:rsidR="00625876" w:rsidRPr="008A69A3" w:rsidRDefault="00625876" w:rsidP="00625876">
      <w:pPr>
        <w:tabs>
          <w:tab w:val="left" w:pos="851"/>
        </w:tabs>
        <w:ind w:left="851" w:hanging="851"/>
        <w:jc w:val="both"/>
        <w:rPr>
          <w:rFonts w:ascii="Calibri" w:hAnsi="Calibri" w:cs="Calibri"/>
          <w:sz w:val="20"/>
          <w:szCs w:val="20"/>
          <w:lang w:val="en-AU"/>
        </w:rPr>
      </w:pPr>
      <w:r w:rsidRPr="008A69A3">
        <w:rPr>
          <w:rFonts w:ascii="Calibri" w:hAnsi="Calibri" w:cs="Calibri"/>
          <w:b/>
          <w:i/>
          <w:sz w:val="20"/>
          <w:szCs w:val="20"/>
          <w:lang w:val="en-AU"/>
        </w:rPr>
        <w:t>Source</w:t>
      </w:r>
      <w:r w:rsidRPr="008A69A3">
        <w:rPr>
          <w:rFonts w:ascii="Calibri" w:hAnsi="Calibri" w:cs="Calibri"/>
          <w:sz w:val="20"/>
          <w:szCs w:val="20"/>
          <w:lang w:val="en-AU"/>
        </w:rPr>
        <w:t>:</w:t>
      </w:r>
      <w:r w:rsidRPr="008A69A3">
        <w:rPr>
          <w:rFonts w:ascii="Calibri" w:hAnsi="Calibri" w:cs="Calibri"/>
          <w:sz w:val="20"/>
          <w:szCs w:val="20"/>
          <w:lang w:val="en-AU"/>
        </w:rPr>
        <w:tab/>
        <w:t>Risk Management Guide for Child Care – Guild Insurance</w:t>
      </w:r>
    </w:p>
    <w:p w:rsidR="00227B2F" w:rsidRDefault="00227B2F" w:rsidP="00227B2F">
      <w:pPr>
        <w:tabs>
          <w:tab w:val="left" w:pos="851"/>
        </w:tabs>
        <w:jc w:val="both"/>
        <w:rPr>
          <w:rFonts w:ascii="Calibri" w:hAnsi="Calibri" w:cs="Calibri"/>
          <w:sz w:val="20"/>
          <w:szCs w:val="20"/>
          <w:lang w:val="en-AU"/>
        </w:rPr>
      </w:pPr>
      <w:r>
        <w:rPr>
          <w:rFonts w:ascii="Calibri" w:hAnsi="Calibri" w:cs="Calibri"/>
          <w:sz w:val="20"/>
          <w:szCs w:val="20"/>
          <w:lang w:val="en-AU"/>
        </w:rPr>
        <w:t xml:space="preserve">                  </w:t>
      </w:r>
      <w:r w:rsidR="00625876" w:rsidRPr="008A69A3">
        <w:rPr>
          <w:rFonts w:ascii="Calibri" w:hAnsi="Calibri" w:cs="Calibri"/>
          <w:sz w:val="20"/>
          <w:szCs w:val="20"/>
          <w:lang w:val="en-AU"/>
        </w:rPr>
        <w:t>National Qualit</w:t>
      </w:r>
      <w:r>
        <w:rPr>
          <w:rFonts w:ascii="Calibri" w:hAnsi="Calibri" w:cs="Calibri"/>
          <w:sz w:val="20"/>
          <w:szCs w:val="20"/>
          <w:lang w:val="en-AU"/>
        </w:rPr>
        <w:t>y Framework and Standards – 2012</w:t>
      </w:r>
    </w:p>
    <w:p w:rsidR="00227B2F" w:rsidRPr="008A69A3" w:rsidRDefault="00227B2F" w:rsidP="00227B2F">
      <w:pPr>
        <w:tabs>
          <w:tab w:val="left" w:pos="851"/>
        </w:tabs>
        <w:ind w:left="851" w:hanging="851"/>
        <w:jc w:val="both"/>
        <w:rPr>
          <w:rFonts w:ascii="Calibri" w:hAnsi="Calibri" w:cs="Calibri"/>
          <w:sz w:val="20"/>
          <w:szCs w:val="20"/>
          <w:lang w:val="en-AU"/>
        </w:rPr>
      </w:pPr>
      <w:r>
        <w:rPr>
          <w:rFonts w:ascii="Calibri" w:hAnsi="Calibri" w:cs="Calibri"/>
          <w:sz w:val="20"/>
          <w:szCs w:val="20"/>
          <w:lang w:val="en-AU"/>
        </w:rPr>
        <w:t xml:space="preserve">                  </w:t>
      </w:r>
      <w:hyperlink r:id="rId6" w:history="1">
        <w:r w:rsidRPr="008A69A3">
          <w:rPr>
            <w:rStyle w:val="Hyperlink"/>
            <w:rFonts w:ascii="Calibri" w:hAnsi="Calibri" w:cs="Calibri"/>
            <w:sz w:val="20"/>
            <w:szCs w:val="20"/>
            <w:lang w:val="en-AU"/>
          </w:rPr>
          <w:t>http://acecqa.gov.au/national-quality-framework/national-quality-standard/</w:t>
        </w:r>
      </w:hyperlink>
    </w:p>
    <w:p w:rsidR="00227B2F" w:rsidRDefault="00227B2F" w:rsidP="00227B2F">
      <w:pPr>
        <w:tabs>
          <w:tab w:val="left" w:pos="851"/>
        </w:tabs>
        <w:jc w:val="both"/>
        <w:rPr>
          <w:rFonts w:ascii="Calibri" w:hAnsi="Calibri" w:cs="Calibri"/>
          <w:sz w:val="22"/>
          <w:szCs w:val="22"/>
          <w:lang w:val="en-AU"/>
        </w:rPr>
      </w:pPr>
      <w:r>
        <w:rPr>
          <w:rFonts w:ascii="Calibri" w:hAnsi="Calibri" w:cs="Calibri"/>
          <w:sz w:val="22"/>
          <w:szCs w:val="22"/>
          <w:lang w:val="en-AU"/>
        </w:rPr>
        <w:t xml:space="preserve">                 </w:t>
      </w:r>
      <w:r w:rsidRPr="008A69A3">
        <w:rPr>
          <w:rFonts w:ascii="Calibri" w:hAnsi="Calibri" w:cs="Calibri"/>
          <w:sz w:val="22"/>
          <w:szCs w:val="22"/>
          <w:lang w:val="en-AU"/>
        </w:rPr>
        <w:t>Toybox Governance Committee</w:t>
      </w:r>
    </w:p>
    <w:p w:rsidR="00356D32" w:rsidRPr="008A69A3" w:rsidRDefault="00356D32" w:rsidP="00227B2F">
      <w:pPr>
        <w:tabs>
          <w:tab w:val="left" w:pos="851"/>
        </w:tabs>
        <w:jc w:val="both"/>
        <w:rPr>
          <w:rFonts w:ascii="Calibri" w:hAnsi="Calibri" w:cs="Calibri"/>
          <w:sz w:val="22"/>
          <w:szCs w:val="22"/>
          <w:lang w:val="en-AU"/>
        </w:rPr>
      </w:pPr>
    </w:p>
    <w:p w:rsidR="00356D32" w:rsidRPr="00356D32" w:rsidRDefault="00356D32" w:rsidP="00356D32">
      <w:pPr>
        <w:rPr>
          <w:rFonts w:asciiTheme="minorHAnsi" w:hAnsiTheme="minorHAnsi"/>
          <w:b/>
          <w:sz w:val="20"/>
          <w:szCs w:val="20"/>
        </w:rPr>
      </w:pPr>
      <w:r w:rsidRPr="00356D32">
        <w:rPr>
          <w:rFonts w:asciiTheme="minorHAnsi" w:hAnsiTheme="minorHAnsi"/>
          <w:b/>
          <w:sz w:val="20"/>
          <w:szCs w:val="20"/>
        </w:rPr>
        <w:t>Review</w:t>
      </w:r>
    </w:p>
    <w:p w:rsidR="00356D32" w:rsidRPr="00356D32" w:rsidRDefault="00356D32" w:rsidP="00356D32">
      <w:pPr>
        <w:rPr>
          <w:rFonts w:asciiTheme="minorHAnsi" w:hAnsiTheme="minorHAnsi" w:cs="Calibri"/>
          <w:sz w:val="20"/>
          <w:szCs w:val="20"/>
        </w:rPr>
      </w:pPr>
      <w:r w:rsidRPr="00356D32">
        <w:rPr>
          <w:rFonts w:asciiTheme="minorHAnsi" w:hAnsiTheme="minorHAnsi" w:cs="Calibri"/>
          <w:sz w:val="20"/>
          <w:szCs w:val="20"/>
        </w:rPr>
        <w:t>The policy will be reviewed annually</w:t>
      </w:r>
    </w:p>
    <w:p w:rsidR="00356D32" w:rsidRPr="00356D32" w:rsidRDefault="00356D32" w:rsidP="00356D32">
      <w:pPr>
        <w:rPr>
          <w:rFonts w:asciiTheme="minorHAnsi" w:hAnsiTheme="minorHAnsi"/>
          <w:sz w:val="20"/>
          <w:szCs w:val="20"/>
        </w:rPr>
      </w:pPr>
      <w:r w:rsidRPr="00356D32">
        <w:rPr>
          <w:rFonts w:asciiTheme="minorHAnsi" w:hAnsiTheme="minorHAnsi"/>
          <w:sz w:val="20"/>
          <w:szCs w:val="20"/>
        </w:rPr>
        <w:t>The review will be conducted by:</w:t>
      </w:r>
    </w:p>
    <w:p w:rsidR="00356D32" w:rsidRPr="00356D32" w:rsidRDefault="00356D32" w:rsidP="00356D32">
      <w:pPr>
        <w:numPr>
          <w:ilvl w:val="0"/>
          <w:numId w:val="1"/>
        </w:numPr>
        <w:spacing w:after="200" w:line="276" w:lineRule="auto"/>
        <w:rPr>
          <w:rFonts w:asciiTheme="minorHAnsi" w:hAnsiTheme="minorHAnsi"/>
          <w:sz w:val="20"/>
          <w:szCs w:val="20"/>
        </w:rPr>
      </w:pPr>
      <w:r w:rsidRPr="00356D32">
        <w:rPr>
          <w:rFonts w:asciiTheme="minorHAnsi" w:hAnsiTheme="minorHAnsi"/>
          <w:sz w:val="20"/>
          <w:szCs w:val="20"/>
        </w:rPr>
        <w:t>Management</w:t>
      </w:r>
    </w:p>
    <w:p w:rsidR="00356D32" w:rsidRPr="00356D32" w:rsidRDefault="00356D32" w:rsidP="00356D32">
      <w:pPr>
        <w:numPr>
          <w:ilvl w:val="0"/>
          <w:numId w:val="1"/>
        </w:numPr>
        <w:spacing w:after="200" w:line="276" w:lineRule="auto"/>
        <w:rPr>
          <w:rFonts w:asciiTheme="minorHAnsi" w:hAnsiTheme="minorHAnsi"/>
          <w:sz w:val="20"/>
          <w:szCs w:val="20"/>
        </w:rPr>
      </w:pPr>
      <w:r w:rsidRPr="00356D32">
        <w:rPr>
          <w:rFonts w:asciiTheme="minorHAnsi" w:hAnsiTheme="minorHAnsi"/>
          <w:sz w:val="20"/>
          <w:szCs w:val="20"/>
        </w:rPr>
        <w:t>Employees</w:t>
      </w:r>
    </w:p>
    <w:p w:rsidR="00356D32" w:rsidRPr="00356D32" w:rsidRDefault="00356D32" w:rsidP="00356D32">
      <w:pPr>
        <w:numPr>
          <w:ilvl w:val="0"/>
          <w:numId w:val="1"/>
        </w:numPr>
        <w:spacing w:after="200" w:line="276" w:lineRule="auto"/>
        <w:rPr>
          <w:rFonts w:asciiTheme="minorHAnsi" w:hAnsiTheme="minorHAnsi"/>
          <w:sz w:val="20"/>
          <w:szCs w:val="20"/>
        </w:rPr>
      </w:pPr>
      <w:r w:rsidRPr="00356D32">
        <w:rPr>
          <w:rFonts w:asciiTheme="minorHAnsi" w:hAnsiTheme="minorHAnsi"/>
          <w:sz w:val="20"/>
          <w:szCs w:val="20"/>
        </w:rPr>
        <w:t xml:space="preserve">Families </w:t>
      </w:r>
    </w:p>
    <w:p w:rsidR="00356D32" w:rsidRPr="00356D32" w:rsidRDefault="00356D32" w:rsidP="00356D32">
      <w:pPr>
        <w:numPr>
          <w:ilvl w:val="0"/>
          <w:numId w:val="1"/>
        </w:numPr>
        <w:spacing w:after="200" w:line="276" w:lineRule="auto"/>
        <w:rPr>
          <w:rFonts w:asciiTheme="minorHAnsi" w:hAnsiTheme="minorHAnsi"/>
          <w:sz w:val="20"/>
          <w:szCs w:val="20"/>
        </w:rPr>
      </w:pPr>
      <w:r w:rsidRPr="00356D32">
        <w:rPr>
          <w:rFonts w:asciiTheme="minorHAnsi" w:hAnsiTheme="minorHAnsi"/>
          <w:sz w:val="20"/>
          <w:szCs w:val="20"/>
        </w:rPr>
        <w:t>Interested Parties</w:t>
      </w:r>
    </w:p>
    <w:p w:rsidR="00356D32" w:rsidRPr="00356D32" w:rsidRDefault="00356D32" w:rsidP="00356D32">
      <w:pPr>
        <w:rPr>
          <w:rFonts w:asciiTheme="minorHAnsi" w:hAnsiTheme="minorHAnsi" w:cs="Calibri"/>
          <w:b/>
          <w:sz w:val="20"/>
          <w:szCs w:val="20"/>
        </w:rPr>
      </w:pPr>
    </w:p>
    <w:p w:rsidR="00356D32" w:rsidRDefault="00356D32" w:rsidP="00356D32">
      <w:pPr>
        <w:rPr>
          <w:rFonts w:asciiTheme="minorHAnsi" w:hAnsiTheme="minorHAnsi" w:cs="Calibri"/>
          <w:b/>
          <w:sz w:val="20"/>
          <w:szCs w:val="20"/>
        </w:rPr>
      </w:pPr>
      <w:r w:rsidRPr="00356D32">
        <w:rPr>
          <w:rFonts w:asciiTheme="minorHAnsi" w:hAnsiTheme="minorHAnsi" w:cs="Calibri"/>
          <w:b/>
          <w:sz w:val="20"/>
          <w:szCs w:val="20"/>
        </w:rPr>
        <w:t>Last reviewed: May 2014</w:t>
      </w:r>
      <w:r w:rsidRPr="00356D32">
        <w:rPr>
          <w:rFonts w:asciiTheme="minorHAnsi" w:hAnsiTheme="minorHAnsi" w:cs="Calibri"/>
          <w:b/>
          <w:sz w:val="20"/>
          <w:szCs w:val="20"/>
        </w:rPr>
        <w:tab/>
        <w:t xml:space="preserve"> </w:t>
      </w:r>
    </w:p>
    <w:p w:rsidR="004C7698" w:rsidRPr="00356D32" w:rsidRDefault="004C7698" w:rsidP="00356D32">
      <w:pPr>
        <w:rPr>
          <w:rFonts w:asciiTheme="minorHAnsi" w:hAnsiTheme="minorHAnsi" w:cs="Calibri"/>
          <w:b/>
          <w:sz w:val="20"/>
          <w:szCs w:val="20"/>
        </w:rPr>
      </w:pPr>
      <w:r>
        <w:rPr>
          <w:rFonts w:asciiTheme="minorHAnsi" w:hAnsiTheme="minorHAnsi" w:cs="Calibri"/>
          <w:b/>
          <w:sz w:val="20"/>
          <w:szCs w:val="20"/>
        </w:rPr>
        <w:t>Updated Nov 2017</w:t>
      </w:r>
    </w:p>
    <w:p w:rsidR="00227B2F" w:rsidRDefault="00227B2F" w:rsidP="00227B2F">
      <w:pPr>
        <w:tabs>
          <w:tab w:val="left" w:pos="851"/>
        </w:tabs>
        <w:jc w:val="both"/>
        <w:rPr>
          <w:rFonts w:ascii="Calibri" w:hAnsi="Calibri" w:cs="Calibri"/>
          <w:sz w:val="20"/>
          <w:szCs w:val="20"/>
          <w:lang w:val="en-AU"/>
        </w:rPr>
      </w:pPr>
    </w:p>
    <w:p w:rsidR="00541BD9" w:rsidRDefault="00541BD9"/>
    <w:sectPr w:rsidR="00541BD9" w:rsidSect="00541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709"/>
    <w:multiLevelType w:val="hybridMultilevel"/>
    <w:tmpl w:val="15606C5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Arial"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Arial"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Arial" w:hint="default"/>
      </w:rPr>
    </w:lvl>
    <w:lvl w:ilvl="8" w:tplc="0C090005">
      <w:start w:val="1"/>
      <w:numFmt w:val="bullet"/>
      <w:lvlText w:val=""/>
      <w:lvlJc w:val="left"/>
      <w:pPr>
        <w:ind w:left="6525" w:hanging="360"/>
      </w:pPr>
      <w:rPr>
        <w:rFonts w:ascii="Wingdings" w:hAnsi="Wingdings" w:hint="default"/>
      </w:rPr>
    </w:lvl>
  </w:abstractNum>
  <w:abstractNum w:abstractNumId="1">
    <w:nsid w:val="2AF82CE2"/>
    <w:multiLevelType w:val="hybridMultilevel"/>
    <w:tmpl w:val="28244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76"/>
    <w:rsid w:val="00227B2F"/>
    <w:rsid w:val="00356D32"/>
    <w:rsid w:val="004C7698"/>
    <w:rsid w:val="00541BD9"/>
    <w:rsid w:val="00625876"/>
    <w:rsid w:val="00DD7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87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5876"/>
    <w:rPr>
      <w:color w:val="0000FF"/>
      <w:u w:val="single"/>
    </w:rPr>
  </w:style>
  <w:style w:type="paragraph" w:styleId="ListParagraph">
    <w:name w:val="List Paragraph"/>
    <w:basedOn w:val="Normal"/>
    <w:uiPriority w:val="34"/>
    <w:qFormat/>
    <w:rsid w:val="00DD79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87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5876"/>
    <w:rPr>
      <w:color w:val="0000FF"/>
      <w:u w:val="single"/>
    </w:rPr>
  </w:style>
  <w:style w:type="paragraph" w:styleId="ListParagraph">
    <w:name w:val="List Paragraph"/>
    <w:basedOn w:val="Normal"/>
    <w:uiPriority w:val="34"/>
    <w:qFormat/>
    <w:rsid w:val="00DD7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9323">
      <w:bodyDiv w:val="1"/>
      <w:marLeft w:val="0"/>
      <w:marRight w:val="0"/>
      <w:marTop w:val="0"/>
      <w:marBottom w:val="0"/>
      <w:divBdr>
        <w:top w:val="none" w:sz="0" w:space="0" w:color="auto"/>
        <w:left w:val="none" w:sz="0" w:space="0" w:color="auto"/>
        <w:bottom w:val="none" w:sz="0" w:space="0" w:color="auto"/>
        <w:right w:val="none" w:sz="0" w:space="0" w:color="auto"/>
      </w:divBdr>
    </w:div>
    <w:div w:id="1228766549">
      <w:bodyDiv w:val="1"/>
      <w:marLeft w:val="0"/>
      <w:marRight w:val="0"/>
      <w:marTop w:val="0"/>
      <w:marBottom w:val="0"/>
      <w:divBdr>
        <w:top w:val="none" w:sz="0" w:space="0" w:color="auto"/>
        <w:left w:val="none" w:sz="0" w:space="0" w:color="auto"/>
        <w:bottom w:val="none" w:sz="0" w:space="0" w:color="auto"/>
        <w:right w:val="none" w:sz="0" w:space="0" w:color="auto"/>
      </w:divBdr>
    </w:div>
    <w:div w:id="1445921453">
      <w:bodyDiv w:val="1"/>
      <w:marLeft w:val="0"/>
      <w:marRight w:val="0"/>
      <w:marTop w:val="0"/>
      <w:marBottom w:val="0"/>
      <w:divBdr>
        <w:top w:val="none" w:sz="0" w:space="0" w:color="auto"/>
        <w:left w:val="none" w:sz="0" w:space="0" w:color="auto"/>
        <w:bottom w:val="none" w:sz="0" w:space="0" w:color="auto"/>
        <w:right w:val="none" w:sz="0" w:space="0" w:color="auto"/>
      </w:divBdr>
    </w:div>
    <w:div w:id="1505172525">
      <w:bodyDiv w:val="1"/>
      <w:marLeft w:val="0"/>
      <w:marRight w:val="0"/>
      <w:marTop w:val="0"/>
      <w:marBottom w:val="0"/>
      <w:divBdr>
        <w:top w:val="none" w:sz="0" w:space="0" w:color="auto"/>
        <w:left w:val="none" w:sz="0" w:space="0" w:color="auto"/>
        <w:bottom w:val="none" w:sz="0" w:space="0" w:color="auto"/>
        <w:right w:val="none" w:sz="0" w:space="0" w:color="auto"/>
      </w:divBdr>
    </w:div>
    <w:div w:id="1757557520">
      <w:bodyDiv w:val="1"/>
      <w:marLeft w:val="0"/>
      <w:marRight w:val="0"/>
      <w:marTop w:val="0"/>
      <w:marBottom w:val="0"/>
      <w:divBdr>
        <w:top w:val="none" w:sz="0" w:space="0" w:color="auto"/>
        <w:left w:val="none" w:sz="0" w:space="0" w:color="auto"/>
        <w:bottom w:val="none" w:sz="0" w:space="0" w:color="auto"/>
        <w:right w:val="none" w:sz="0" w:space="0" w:color="auto"/>
      </w:divBdr>
    </w:div>
    <w:div w:id="184844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ecqa.gov.au/national-quality-framework/national-quality-standar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maxlucanchanny</dc:creator>
  <cp:lastModifiedBy>Director</cp:lastModifiedBy>
  <cp:revision>2</cp:revision>
  <cp:lastPrinted>2014-10-29T01:55:00Z</cp:lastPrinted>
  <dcterms:created xsi:type="dcterms:W3CDTF">2017-11-14T01:11:00Z</dcterms:created>
  <dcterms:modified xsi:type="dcterms:W3CDTF">2017-11-14T01:11:00Z</dcterms:modified>
</cp:coreProperties>
</file>