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11" w:rsidRDefault="00A24B11" w:rsidP="00A24B11">
      <w:pPr>
        <w:tabs>
          <w:tab w:val="left" w:pos="851"/>
        </w:tabs>
        <w:ind w:left="851" w:hanging="851"/>
        <w:rPr>
          <w:rFonts w:eastAsia="Calibri" w:cs="Calibri"/>
          <w:b/>
          <w:color w:val="000000" w:themeColor="text1"/>
          <w:sz w:val="36"/>
          <w:szCs w:val="36"/>
        </w:rPr>
      </w:pPr>
      <w:r>
        <w:rPr>
          <w:rFonts w:eastAsia="Calibri" w:cs="Calibri"/>
          <w:b/>
          <w:color w:val="000000" w:themeColor="text1"/>
          <w:sz w:val="36"/>
          <w:szCs w:val="36"/>
        </w:rPr>
        <w:t xml:space="preserve">                    </w:t>
      </w:r>
      <w:r w:rsidR="00827E8E">
        <w:rPr>
          <w:rFonts w:eastAsia="Calibri" w:cs="Calibri"/>
          <w:b/>
          <w:color w:val="000000" w:themeColor="text1"/>
          <w:sz w:val="36"/>
          <w:szCs w:val="36"/>
        </w:rPr>
        <w:t>Infectious Diseases Policy</w:t>
      </w:r>
    </w:p>
    <w:p w:rsidR="00B92E6E" w:rsidRPr="00B92E6E" w:rsidRDefault="00B92E6E" w:rsidP="00B92E6E">
      <w:pPr>
        <w:widowControl w:val="0"/>
        <w:spacing w:after="120" w:line="285" w:lineRule="auto"/>
        <w:rPr>
          <w:rFonts w:ascii="Calibri" w:eastAsia="Times New Roman" w:hAnsi="Calibri" w:cs="Times New Roman"/>
          <w:b/>
          <w:bCs/>
          <w:i/>
          <w:iCs/>
          <w:color w:val="FFCC00"/>
          <w:kern w:val="28"/>
          <w:sz w:val="20"/>
          <w:szCs w:val="20"/>
          <w:lang w:val="en-US"/>
        </w:rPr>
      </w:pPr>
      <w:r w:rsidRPr="00B92E6E">
        <w:rPr>
          <w:rFonts w:ascii="Calibri" w:eastAsia="Times New Roman" w:hAnsi="Calibri" w:cs="Times New Roman"/>
          <w:b/>
          <w:bCs/>
          <w:i/>
          <w:iCs/>
          <w:color w:val="FFCC00"/>
          <w:kern w:val="28"/>
          <w:sz w:val="20"/>
          <w:szCs w:val="20"/>
          <w:lang w:val="en-US"/>
        </w:rPr>
        <w:t>Quality area 2– Children’s health and safety</w:t>
      </w:r>
    </w:p>
    <w:p w:rsidR="00B92E6E" w:rsidRPr="00B92E6E" w:rsidRDefault="00B92E6E" w:rsidP="00B92E6E">
      <w:pPr>
        <w:widowControl w:val="0"/>
        <w:spacing w:after="120" w:line="285" w:lineRule="auto"/>
        <w:rPr>
          <w:rFonts w:ascii="Calibri" w:eastAsia="Times New Roman" w:hAnsi="Calibri" w:cs="Times New Roman"/>
          <w:b/>
          <w:bCs/>
          <w:color w:val="FFCC00"/>
          <w:kern w:val="28"/>
          <w:sz w:val="20"/>
          <w:szCs w:val="20"/>
          <w:lang w:val="en-US"/>
        </w:rPr>
      </w:pPr>
      <w:r w:rsidRPr="00B92E6E">
        <w:rPr>
          <w:rFonts w:ascii="Calibri" w:eastAsia="Times New Roman" w:hAnsi="Calibri" w:cs="Times New Roman"/>
          <w:b/>
          <w:bCs/>
          <w:color w:val="FFCC00"/>
          <w:kern w:val="28"/>
          <w:sz w:val="20"/>
          <w:szCs w:val="20"/>
          <w:lang w:val="en-US"/>
        </w:rPr>
        <w:t>2.1 Health- Each child’s health and physical activity is supported and promoted.</w:t>
      </w:r>
    </w:p>
    <w:p w:rsidR="00B92E6E" w:rsidRPr="00B92E6E" w:rsidRDefault="00B92E6E" w:rsidP="00B92E6E">
      <w:pPr>
        <w:widowControl w:val="0"/>
        <w:spacing w:after="120" w:line="285" w:lineRule="auto"/>
        <w:rPr>
          <w:rFonts w:ascii="Calibri" w:eastAsia="Times New Roman" w:hAnsi="Calibri" w:cs="Times New Roman"/>
          <w:color w:val="FFCC00"/>
          <w:kern w:val="28"/>
          <w:sz w:val="20"/>
          <w:szCs w:val="20"/>
          <w:lang w:val="en-US"/>
        </w:rPr>
      </w:pPr>
      <w:r w:rsidRPr="00B92E6E">
        <w:rPr>
          <w:rFonts w:ascii="Calibri" w:eastAsia="Times New Roman" w:hAnsi="Calibri" w:cs="Times New Roman"/>
          <w:color w:val="FFCC00"/>
          <w:kern w:val="28"/>
          <w:sz w:val="20"/>
          <w:szCs w:val="20"/>
          <w:lang w:val="en-US"/>
        </w:rPr>
        <w:t>2.1.1 Wellbeing and comfort</w:t>
      </w:r>
    </w:p>
    <w:p w:rsidR="00B92E6E" w:rsidRPr="00B92E6E" w:rsidRDefault="00B92E6E" w:rsidP="00B92E6E">
      <w:pPr>
        <w:widowControl w:val="0"/>
        <w:spacing w:after="120" w:line="285" w:lineRule="auto"/>
        <w:rPr>
          <w:rFonts w:ascii="Calibri" w:eastAsia="Times New Roman" w:hAnsi="Calibri" w:cs="Times New Roman"/>
          <w:color w:val="FFCC00"/>
          <w:kern w:val="28"/>
          <w:sz w:val="20"/>
          <w:szCs w:val="20"/>
          <w:lang w:val="en-US"/>
        </w:rPr>
      </w:pPr>
      <w:r w:rsidRPr="00B92E6E">
        <w:rPr>
          <w:rFonts w:ascii="Calibri" w:eastAsia="Times New Roman" w:hAnsi="Calibri" w:cs="Times New Roman"/>
          <w:color w:val="FFCC00"/>
          <w:kern w:val="28"/>
          <w:sz w:val="20"/>
          <w:szCs w:val="20"/>
          <w:lang w:val="en-US"/>
        </w:rPr>
        <w:t>Each child’s wellbeing and comfort is provided for, including appropriate opportunities to meet each child’s need for sleep, rest and relaxation.</w:t>
      </w:r>
    </w:p>
    <w:p w:rsidR="00B92E6E" w:rsidRPr="00B92E6E" w:rsidRDefault="00B92E6E" w:rsidP="00B92E6E">
      <w:pPr>
        <w:widowControl w:val="0"/>
        <w:spacing w:after="120" w:line="285" w:lineRule="auto"/>
        <w:rPr>
          <w:rFonts w:ascii="Calibri" w:eastAsia="Times New Roman" w:hAnsi="Calibri" w:cs="Times New Roman"/>
          <w:color w:val="FFCC00"/>
          <w:kern w:val="28"/>
          <w:sz w:val="20"/>
          <w:szCs w:val="20"/>
          <w:lang w:val="en-US"/>
        </w:rPr>
      </w:pPr>
      <w:r w:rsidRPr="00B92E6E">
        <w:rPr>
          <w:rFonts w:ascii="Calibri" w:eastAsia="Times New Roman" w:hAnsi="Calibri" w:cs="Times New Roman"/>
          <w:color w:val="FFCC00"/>
          <w:kern w:val="28"/>
          <w:sz w:val="20"/>
          <w:szCs w:val="20"/>
          <w:lang w:val="en-US"/>
        </w:rPr>
        <w:t>2.1.2 Health practices and procedures</w:t>
      </w:r>
    </w:p>
    <w:p w:rsidR="00B92E6E" w:rsidRPr="00B92E6E" w:rsidRDefault="00B92E6E" w:rsidP="00B92E6E">
      <w:pPr>
        <w:widowControl w:val="0"/>
        <w:spacing w:after="120" w:line="285" w:lineRule="auto"/>
        <w:rPr>
          <w:rFonts w:ascii="Calibri" w:eastAsia="Times New Roman" w:hAnsi="Calibri" w:cs="Times New Roman"/>
          <w:color w:val="FFCC00"/>
          <w:kern w:val="28"/>
          <w:sz w:val="20"/>
          <w:szCs w:val="20"/>
          <w:lang w:val="en-US"/>
        </w:rPr>
      </w:pPr>
      <w:r w:rsidRPr="00B92E6E">
        <w:rPr>
          <w:rFonts w:ascii="Calibri" w:eastAsia="Times New Roman" w:hAnsi="Calibri" w:cs="Times New Roman"/>
          <w:color w:val="FFCC00"/>
          <w:kern w:val="28"/>
          <w:sz w:val="20"/>
          <w:szCs w:val="20"/>
          <w:lang w:val="en-US"/>
        </w:rPr>
        <w:t>Effective illness and injury management and hygiene practices are promoted and implemented.</w:t>
      </w:r>
    </w:p>
    <w:p w:rsidR="00B92E6E" w:rsidRPr="00B92E6E" w:rsidRDefault="00B92E6E" w:rsidP="00B92E6E">
      <w:pPr>
        <w:widowControl w:val="0"/>
        <w:spacing w:after="120" w:line="285" w:lineRule="auto"/>
        <w:rPr>
          <w:rFonts w:ascii="Calibri" w:eastAsia="Times New Roman" w:hAnsi="Calibri" w:cs="Times New Roman"/>
          <w:b/>
          <w:bCs/>
          <w:color w:val="FFCC00"/>
          <w:kern w:val="28"/>
          <w:sz w:val="20"/>
          <w:szCs w:val="20"/>
          <w:lang w:val="en-US"/>
        </w:rPr>
      </w:pPr>
      <w:r w:rsidRPr="00B92E6E">
        <w:rPr>
          <w:rFonts w:ascii="Calibri" w:eastAsia="Times New Roman" w:hAnsi="Calibri" w:cs="Times New Roman"/>
          <w:b/>
          <w:bCs/>
          <w:color w:val="FFCC00"/>
          <w:kern w:val="28"/>
          <w:sz w:val="20"/>
          <w:szCs w:val="20"/>
          <w:lang w:val="en-US"/>
        </w:rPr>
        <w:t>2.2 Safety- Each child is protected</w:t>
      </w:r>
    </w:p>
    <w:p w:rsidR="00B92E6E" w:rsidRPr="00B92E6E" w:rsidRDefault="00B92E6E" w:rsidP="00B92E6E">
      <w:pPr>
        <w:widowControl w:val="0"/>
        <w:spacing w:after="120" w:line="285" w:lineRule="auto"/>
        <w:rPr>
          <w:rFonts w:ascii="Calibri" w:eastAsia="Times New Roman" w:hAnsi="Calibri" w:cs="Times New Roman"/>
          <w:color w:val="FFCC00"/>
          <w:kern w:val="28"/>
          <w:sz w:val="20"/>
          <w:szCs w:val="20"/>
          <w:lang w:val="en-US"/>
        </w:rPr>
      </w:pPr>
      <w:r w:rsidRPr="00B92E6E">
        <w:rPr>
          <w:rFonts w:ascii="Calibri" w:eastAsia="Times New Roman" w:hAnsi="Calibri" w:cs="Times New Roman"/>
          <w:color w:val="FFCC00"/>
          <w:kern w:val="28"/>
          <w:sz w:val="20"/>
          <w:szCs w:val="20"/>
          <w:lang w:val="en-US"/>
        </w:rPr>
        <w:t>2.2.2 Incident and emergency management</w:t>
      </w:r>
    </w:p>
    <w:p w:rsidR="00B92E6E" w:rsidRPr="00B92E6E" w:rsidRDefault="00B92E6E" w:rsidP="00B92E6E">
      <w:pPr>
        <w:widowControl w:val="0"/>
        <w:spacing w:after="120" w:line="285" w:lineRule="auto"/>
        <w:rPr>
          <w:rFonts w:ascii="Calibri" w:eastAsia="Times New Roman" w:hAnsi="Calibri" w:cs="Times New Roman"/>
          <w:color w:val="FFCC00"/>
          <w:kern w:val="28"/>
          <w:sz w:val="20"/>
          <w:szCs w:val="20"/>
          <w:lang w:val="en-US"/>
        </w:rPr>
      </w:pPr>
      <w:r w:rsidRPr="00B92E6E">
        <w:rPr>
          <w:rFonts w:ascii="Calibri" w:eastAsia="Times New Roman" w:hAnsi="Calibri" w:cs="Times New Roman"/>
          <w:color w:val="FFCC00"/>
          <w:kern w:val="28"/>
          <w:sz w:val="20"/>
          <w:szCs w:val="20"/>
          <w:lang w:val="en-US"/>
        </w:rPr>
        <w:t>Plans to effectively manage incidents and emergencies are developed in consultation with relevant authorities, practices and implemented.</w:t>
      </w:r>
    </w:p>
    <w:p w:rsidR="00B92E6E" w:rsidRPr="00B92E6E" w:rsidRDefault="00B92E6E" w:rsidP="00B92E6E">
      <w:pPr>
        <w:widowControl w:val="0"/>
        <w:spacing w:after="120" w:line="285" w:lineRule="auto"/>
        <w:rPr>
          <w:rFonts w:ascii="Calibri" w:eastAsia="Times New Roman" w:hAnsi="Calibri" w:cs="Times New Roman"/>
          <w:color w:val="FFCC00"/>
          <w:kern w:val="28"/>
          <w:sz w:val="20"/>
          <w:szCs w:val="20"/>
          <w:lang w:val="en-US"/>
        </w:rPr>
      </w:pPr>
      <w:r w:rsidRPr="00B92E6E">
        <w:rPr>
          <w:rFonts w:ascii="Calibri" w:eastAsia="Times New Roman" w:hAnsi="Calibri" w:cs="Times New Roman"/>
          <w:color w:val="FFCC00"/>
          <w:kern w:val="28"/>
          <w:sz w:val="20"/>
          <w:szCs w:val="20"/>
          <w:lang w:val="en-US"/>
        </w:rPr>
        <w:t>2.2.3 Child protection</w:t>
      </w:r>
    </w:p>
    <w:p w:rsidR="00B92E6E" w:rsidRPr="00B92E6E" w:rsidRDefault="00B92E6E" w:rsidP="00B92E6E">
      <w:pPr>
        <w:widowControl w:val="0"/>
        <w:spacing w:after="120" w:line="285" w:lineRule="auto"/>
        <w:rPr>
          <w:rFonts w:ascii="Calibri" w:eastAsia="Times New Roman" w:hAnsi="Calibri" w:cs="Times New Roman"/>
          <w:color w:val="FFCC00"/>
          <w:kern w:val="28"/>
          <w:sz w:val="20"/>
          <w:szCs w:val="20"/>
          <w:lang w:val="en-US"/>
        </w:rPr>
      </w:pPr>
      <w:r w:rsidRPr="00B92E6E">
        <w:rPr>
          <w:rFonts w:ascii="Calibri" w:eastAsia="Times New Roman" w:hAnsi="Calibri" w:cs="Times New Roman"/>
          <w:color w:val="FFCC00"/>
          <w:kern w:val="28"/>
          <w:sz w:val="20"/>
          <w:szCs w:val="20"/>
          <w:lang w:val="en-US"/>
        </w:rPr>
        <w:t>Management, educators and staff are aware of their roles and responsibilities to identify and respond to every child at risk or abuse or neglect.</w:t>
      </w:r>
    </w:p>
    <w:p w:rsidR="00B92E6E" w:rsidRPr="00B92E6E" w:rsidRDefault="00B92E6E" w:rsidP="00B92E6E">
      <w:pPr>
        <w:widowControl w:val="0"/>
        <w:rPr>
          <w:rFonts w:ascii="Calibri" w:eastAsia="Times New Roman" w:hAnsi="Calibri" w:cs="Times New Roman"/>
          <w:b/>
          <w:bCs/>
          <w:i/>
          <w:iCs/>
          <w:color w:val="660066"/>
          <w:kern w:val="28"/>
          <w:sz w:val="20"/>
          <w:szCs w:val="20"/>
          <w:lang w:val="en-US"/>
        </w:rPr>
      </w:pPr>
      <w:r w:rsidRPr="00B92E6E">
        <w:rPr>
          <w:rFonts w:ascii="Calibri" w:eastAsia="Times New Roman" w:hAnsi="Calibri" w:cs="Times New Roman"/>
          <w:b/>
          <w:bCs/>
          <w:i/>
          <w:iCs/>
          <w:color w:val="660066"/>
          <w:kern w:val="28"/>
          <w:sz w:val="20"/>
          <w:szCs w:val="20"/>
          <w:lang w:val="en-US"/>
        </w:rPr>
        <w:t>Quality area 6– Collaborative partnerships with families and communities</w:t>
      </w:r>
    </w:p>
    <w:p w:rsidR="00B92E6E" w:rsidRPr="00B92E6E" w:rsidRDefault="00B92E6E" w:rsidP="00B92E6E">
      <w:pPr>
        <w:widowControl w:val="0"/>
        <w:spacing w:after="120" w:line="285" w:lineRule="auto"/>
        <w:rPr>
          <w:rFonts w:ascii="Calibri" w:eastAsia="Times New Roman" w:hAnsi="Calibri" w:cs="Times New Roman"/>
          <w:b/>
          <w:bCs/>
          <w:color w:val="660066"/>
          <w:kern w:val="28"/>
          <w:sz w:val="20"/>
          <w:szCs w:val="20"/>
          <w:lang w:val="en-US"/>
        </w:rPr>
      </w:pPr>
      <w:r w:rsidRPr="00B92E6E">
        <w:rPr>
          <w:rFonts w:ascii="Calibri" w:eastAsia="Times New Roman" w:hAnsi="Calibri" w:cs="Times New Roman"/>
          <w:b/>
          <w:bCs/>
          <w:color w:val="660066"/>
          <w:kern w:val="28"/>
          <w:sz w:val="20"/>
          <w:szCs w:val="20"/>
          <w:lang w:val="en-US"/>
        </w:rPr>
        <w:t>6.1 Supportive relationships with families- Respectful relationships with families are developed and maintained and families are supported in their parenting role.</w:t>
      </w:r>
    </w:p>
    <w:p w:rsidR="00B92E6E" w:rsidRPr="00B92E6E" w:rsidRDefault="00B92E6E" w:rsidP="00B92E6E">
      <w:pPr>
        <w:widowControl w:val="0"/>
        <w:spacing w:after="120" w:line="285" w:lineRule="auto"/>
        <w:rPr>
          <w:rFonts w:ascii="Calibri" w:eastAsia="Times New Roman" w:hAnsi="Calibri" w:cs="Times New Roman"/>
          <w:color w:val="660066"/>
          <w:kern w:val="28"/>
          <w:sz w:val="20"/>
          <w:szCs w:val="20"/>
          <w:lang w:val="en-US"/>
        </w:rPr>
      </w:pPr>
      <w:r w:rsidRPr="00B92E6E">
        <w:rPr>
          <w:rFonts w:ascii="Calibri" w:eastAsia="Times New Roman" w:hAnsi="Calibri" w:cs="Times New Roman"/>
          <w:color w:val="660066"/>
          <w:kern w:val="28"/>
          <w:sz w:val="20"/>
          <w:szCs w:val="20"/>
          <w:lang w:val="en-US"/>
        </w:rPr>
        <w:t>6.1.1 Engagement with the service</w:t>
      </w:r>
    </w:p>
    <w:p w:rsidR="00B92E6E" w:rsidRPr="00B92E6E" w:rsidRDefault="00B92E6E" w:rsidP="00B92E6E">
      <w:pPr>
        <w:widowControl w:val="0"/>
        <w:spacing w:after="120" w:line="285" w:lineRule="auto"/>
        <w:rPr>
          <w:rFonts w:ascii="Calibri" w:eastAsia="Times New Roman" w:hAnsi="Calibri" w:cs="Times New Roman"/>
          <w:color w:val="660066"/>
          <w:kern w:val="28"/>
          <w:sz w:val="20"/>
          <w:szCs w:val="20"/>
          <w:lang w:val="en-US"/>
        </w:rPr>
      </w:pPr>
      <w:r w:rsidRPr="00B92E6E">
        <w:rPr>
          <w:rFonts w:ascii="Calibri" w:eastAsia="Times New Roman" w:hAnsi="Calibri" w:cs="Times New Roman"/>
          <w:color w:val="660066"/>
          <w:kern w:val="28"/>
          <w:sz w:val="20"/>
          <w:szCs w:val="20"/>
          <w:lang w:val="en-US"/>
        </w:rPr>
        <w:t>Families are supported from enrolment to be involved in the ser</w:t>
      </w:r>
      <w:r>
        <w:rPr>
          <w:rFonts w:ascii="Calibri" w:eastAsia="Times New Roman" w:hAnsi="Calibri" w:cs="Times New Roman"/>
          <w:color w:val="660066"/>
          <w:kern w:val="28"/>
          <w:sz w:val="20"/>
          <w:szCs w:val="20"/>
          <w:lang w:val="en-US"/>
        </w:rPr>
        <w:t xml:space="preserve">vice and contribute to service </w:t>
      </w:r>
      <w:r w:rsidRPr="00B92E6E">
        <w:rPr>
          <w:rFonts w:ascii="Calibri" w:eastAsia="Times New Roman" w:hAnsi="Calibri" w:cs="Times New Roman"/>
          <w:color w:val="660066"/>
          <w:kern w:val="28"/>
          <w:sz w:val="20"/>
          <w:szCs w:val="20"/>
          <w:lang w:val="en-US"/>
        </w:rPr>
        <w:t>decisions.</w:t>
      </w:r>
    </w:p>
    <w:p w:rsidR="00B92E6E" w:rsidRPr="00B92E6E" w:rsidRDefault="00B92E6E" w:rsidP="00B92E6E">
      <w:pPr>
        <w:widowControl w:val="0"/>
        <w:spacing w:after="120" w:line="285" w:lineRule="auto"/>
        <w:rPr>
          <w:rFonts w:ascii="Calibri" w:eastAsia="Times New Roman" w:hAnsi="Calibri" w:cs="Times New Roman"/>
          <w:color w:val="660066"/>
          <w:kern w:val="28"/>
          <w:sz w:val="20"/>
          <w:szCs w:val="20"/>
          <w:lang w:val="en-US"/>
        </w:rPr>
      </w:pPr>
      <w:r w:rsidRPr="00B92E6E">
        <w:rPr>
          <w:rFonts w:ascii="Calibri" w:eastAsia="Times New Roman" w:hAnsi="Calibri" w:cs="Times New Roman"/>
          <w:color w:val="660066"/>
          <w:kern w:val="28"/>
          <w:sz w:val="20"/>
          <w:szCs w:val="20"/>
          <w:lang w:val="en-US"/>
        </w:rPr>
        <w:t>6.1.3 Families are supported</w:t>
      </w:r>
    </w:p>
    <w:p w:rsidR="00B92E6E" w:rsidRPr="00B92E6E" w:rsidRDefault="00B92E6E" w:rsidP="00B92E6E">
      <w:pPr>
        <w:widowControl w:val="0"/>
        <w:spacing w:after="120" w:line="285" w:lineRule="auto"/>
        <w:rPr>
          <w:rFonts w:ascii="Calibri" w:eastAsia="Times New Roman" w:hAnsi="Calibri" w:cs="Times New Roman"/>
          <w:color w:val="660066"/>
          <w:kern w:val="28"/>
          <w:sz w:val="20"/>
          <w:szCs w:val="20"/>
          <w:lang w:val="en-US"/>
        </w:rPr>
      </w:pPr>
      <w:r w:rsidRPr="00B92E6E">
        <w:rPr>
          <w:rFonts w:ascii="Calibri" w:eastAsia="Times New Roman" w:hAnsi="Calibri" w:cs="Times New Roman"/>
          <w:color w:val="660066"/>
          <w:kern w:val="28"/>
          <w:sz w:val="20"/>
          <w:szCs w:val="20"/>
          <w:lang w:val="en-US"/>
        </w:rPr>
        <w:t>Current information is available to families about the service and relevant community services</w:t>
      </w:r>
      <w:r>
        <w:rPr>
          <w:rFonts w:ascii="Calibri" w:eastAsia="Times New Roman" w:hAnsi="Calibri" w:cs="Times New Roman"/>
          <w:color w:val="660066"/>
          <w:kern w:val="28"/>
          <w:sz w:val="20"/>
          <w:szCs w:val="20"/>
          <w:lang w:val="en-US"/>
        </w:rPr>
        <w:t xml:space="preserve"> and resources to support</w:t>
      </w:r>
      <w:r w:rsidRPr="00B92E6E">
        <w:rPr>
          <w:rFonts w:ascii="Calibri" w:eastAsia="Times New Roman" w:hAnsi="Calibri" w:cs="Times New Roman"/>
          <w:color w:val="660066"/>
          <w:kern w:val="28"/>
          <w:sz w:val="20"/>
          <w:szCs w:val="20"/>
          <w:lang w:val="en-US"/>
        </w:rPr>
        <w:t xml:space="preserve"> parenting and family wellbeing.</w:t>
      </w:r>
    </w:p>
    <w:p w:rsidR="00B92E6E" w:rsidRPr="00B92E6E" w:rsidRDefault="00B92E6E" w:rsidP="00B92E6E">
      <w:pPr>
        <w:widowControl w:val="0"/>
        <w:spacing w:after="120" w:line="285" w:lineRule="auto"/>
        <w:rPr>
          <w:rFonts w:ascii="Calibri" w:eastAsia="Times New Roman" w:hAnsi="Calibri" w:cs="Times New Roman"/>
          <w:b/>
          <w:bCs/>
          <w:color w:val="660066"/>
          <w:kern w:val="28"/>
          <w:sz w:val="20"/>
          <w:szCs w:val="20"/>
          <w:lang w:val="en-US"/>
        </w:rPr>
      </w:pPr>
      <w:r w:rsidRPr="00B92E6E">
        <w:rPr>
          <w:rFonts w:ascii="Calibri" w:eastAsia="Times New Roman" w:hAnsi="Calibri" w:cs="Times New Roman"/>
          <w:b/>
          <w:bCs/>
          <w:color w:val="660066"/>
          <w:kern w:val="28"/>
          <w:sz w:val="20"/>
          <w:szCs w:val="20"/>
          <w:lang w:val="en-US"/>
        </w:rPr>
        <w:t xml:space="preserve">6.2 Collaborative partnerships </w:t>
      </w:r>
    </w:p>
    <w:p w:rsidR="00B92E6E" w:rsidRPr="00B81235" w:rsidRDefault="00B92E6E" w:rsidP="00B92E6E">
      <w:pPr>
        <w:widowControl w:val="0"/>
        <w:spacing w:after="120" w:line="285" w:lineRule="auto"/>
        <w:rPr>
          <w:rFonts w:ascii="Calibri" w:eastAsia="Times New Roman" w:hAnsi="Calibri" w:cs="Times New Roman"/>
          <w:b/>
          <w:bCs/>
          <w:color w:val="660066"/>
          <w:kern w:val="28"/>
          <w:sz w:val="20"/>
          <w:szCs w:val="20"/>
          <w:lang w:val="en-US"/>
        </w:rPr>
      </w:pPr>
      <w:r w:rsidRPr="00B92E6E">
        <w:rPr>
          <w:rFonts w:ascii="Calibri" w:eastAsia="Times New Roman" w:hAnsi="Calibri" w:cs="Times New Roman"/>
          <w:b/>
          <w:bCs/>
          <w:color w:val="660066"/>
          <w:kern w:val="28"/>
          <w:sz w:val="20"/>
          <w:szCs w:val="20"/>
          <w:lang w:val="en-US"/>
        </w:rPr>
        <w:t>Collaborative partnerships enhance children’s inclusion, learning and wellbeing</w:t>
      </w:r>
      <w:proofErr w:type="gramStart"/>
      <w:r w:rsidRPr="00B92E6E">
        <w:rPr>
          <w:rFonts w:ascii="Calibri" w:eastAsia="Times New Roman" w:hAnsi="Calibri" w:cs="Times New Roman"/>
          <w:b/>
          <w:bCs/>
          <w:color w:val="660066"/>
          <w:kern w:val="28"/>
          <w:sz w:val="20"/>
          <w:szCs w:val="20"/>
          <w:lang w:val="en-US"/>
        </w:rPr>
        <w:t>.</w:t>
      </w:r>
      <w:r w:rsidRPr="00B92E6E">
        <w:rPr>
          <w:rFonts w:ascii="Calibri" w:eastAsia="Times New Roman" w:hAnsi="Calibri" w:cs="Times New Roman"/>
          <w:color w:val="660066"/>
          <w:kern w:val="28"/>
          <w:sz w:val="20"/>
          <w:szCs w:val="20"/>
          <w:lang w:val="en-US"/>
        </w:rPr>
        <w:t>.</w:t>
      </w:r>
      <w:proofErr w:type="gramEnd"/>
    </w:p>
    <w:p w:rsidR="00B92E6E" w:rsidRPr="00B92E6E" w:rsidRDefault="00B92E6E" w:rsidP="00B92E6E">
      <w:pPr>
        <w:widowControl w:val="0"/>
        <w:spacing w:after="120" w:line="285" w:lineRule="auto"/>
        <w:rPr>
          <w:rFonts w:ascii="Calibri" w:eastAsia="Times New Roman" w:hAnsi="Calibri" w:cs="Times New Roman"/>
          <w:color w:val="660066"/>
          <w:kern w:val="28"/>
          <w:sz w:val="20"/>
          <w:szCs w:val="20"/>
          <w:lang w:val="en-US"/>
        </w:rPr>
      </w:pPr>
      <w:r w:rsidRPr="00B92E6E">
        <w:rPr>
          <w:rFonts w:ascii="Calibri" w:eastAsia="Times New Roman" w:hAnsi="Calibri" w:cs="Times New Roman"/>
          <w:color w:val="660066"/>
          <w:kern w:val="28"/>
          <w:sz w:val="20"/>
          <w:szCs w:val="20"/>
          <w:lang w:val="en-US"/>
        </w:rPr>
        <w:t>6.2.3 Community engagement</w:t>
      </w:r>
    </w:p>
    <w:p w:rsidR="00B92E6E" w:rsidRPr="00B92E6E" w:rsidRDefault="00B92E6E" w:rsidP="00B92E6E">
      <w:pPr>
        <w:widowControl w:val="0"/>
        <w:spacing w:after="120" w:line="285" w:lineRule="auto"/>
        <w:rPr>
          <w:rFonts w:ascii="Calibri" w:eastAsia="Times New Roman" w:hAnsi="Calibri" w:cs="Times New Roman"/>
          <w:color w:val="660066"/>
          <w:kern w:val="28"/>
          <w:sz w:val="20"/>
          <w:szCs w:val="20"/>
          <w:lang w:val="en-US"/>
        </w:rPr>
      </w:pPr>
      <w:r w:rsidRPr="00B92E6E">
        <w:rPr>
          <w:rFonts w:ascii="Calibri" w:eastAsia="Times New Roman" w:hAnsi="Calibri" w:cs="Times New Roman"/>
          <w:color w:val="660066"/>
          <w:kern w:val="28"/>
          <w:sz w:val="20"/>
          <w:szCs w:val="20"/>
          <w:lang w:val="en-US"/>
        </w:rPr>
        <w:t>The service builds relationships and engages with its community.</w:t>
      </w:r>
    </w:p>
    <w:p w:rsidR="00E82D27" w:rsidRPr="00E82D27" w:rsidRDefault="00E82D27" w:rsidP="00E82D27">
      <w:pPr>
        <w:widowControl w:val="0"/>
        <w:spacing w:after="120" w:line="285" w:lineRule="auto"/>
        <w:rPr>
          <w:rFonts w:ascii="Calibri" w:eastAsia="Times New Roman" w:hAnsi="Calibri" w:cs="Times New Roman"/>
          <w:b/>
          <w:bCs/>
          <w:i/>
          <w:iCs/>
          <w:color w:val="3333FF"/>
          <w:kern w:val="28"/>
          <w:sz w:val="20"/>
          <w:szCs w:val="20"/>
        </w:rPr>
      </w:pPr>
      <w:r w:rsidRPr="00E82D27">
        <w:rPr>
          <w:rFonts w:ascii="Calibri" w:eastAsia="Times New Roman" w:hAnsi="Calibri" w:cs="Times New Roman"/>
          <w:b/>
          <w:bCs/>
          <w:i/>
          <w:iCs/>
          <w:color w:val="3333FF"/>
          <w:kern w:val="28"/>
          <w:sz w:val="20"/>
          <w:szCs w:val="20"/>
        </w:rPr>
        <w:t xml:space="preserve">Quality Area 7- Governance and Leadership  </w:t>
      </w:r>
      <w:r w:rsidRPr="00E82D27">
        <w:rPr>
          <w:rFonts w:ascii="Calibri" w:eastAsia="Times New Roman" w:hAnsi="Calibri" w:cs="Times New Roman"/>
          <w:color w:val="3333FF"/>
          <w:kern w:val="28"/>
          <w:sz w:val="20"/>
          <w:szCs w:val="20"/>
        </w:rPr>
        <w:t xml:space="preserve"> </w:t>
      </w:r>
    </w:p>
    <w:p w:rsidR="00E82D27" w:rsidRPr="00E82D27" w:rsidRDefault="00E82D27" w:rsidP="00E82D27">
      <w:pPr>
        <w:widowControl w:val="0"/>
        <w:spacing w:after="120" w:line="285" w:lineRule="auto"/>
        <w:rPr>
          <w:rFonts w:ascii="Calibri" w:eastAsia="Times New Roman" w:hAnsi="Calibri" w:cs="Times New Roman"/>
          <w:color w:val="3333FF"/>
          <w:kern w:val="28"/>
          <w:sz w:val="20"/>
          <w:szCs w:val="20"/>
        </w:rPr>
      </w:pPr>
      <w:r w:rsidRPr="00E82D27">
        <w:rPr>
          <w:rFonts w:ascii="Calibri" w:eastAsia="Times New Roman" w:hAnsi="Calibri" w:cs="Times New Roman"/>
          <w:color w:val="3333FF"/>
          <w:kern w:val="28"/>
          <w:sz w:val="20"/>
          <w:szCs w:val="20"/>
        </w:rPr>
        <w:t>7.1.2 Management systems</w:t>
      </w:r>
    </w:p>
    <w:p w:rsidR="00E82D27" w:rsidRPr="00E82D27" w:rsidRDefault="00E82D27" w:rsidP="00E82D27">
      <w:pPr>
        <w:widowControl w:val="0"/>
        <w:spacing w:after="120" w:line="285" w:lineRule="auto"/>
        <w:rPr>
          <w:rFonts w:ascii="Calibri" w:eastAsia="Times New Roman" w:hAnsi="Calibri" w:cs="Times New Roman"/>
          <w:color w:val="3333FF"/>
          <w:kern w:val="28"/>
          <w:sz w:val="20"/>
          <w:szCs w:val="20"/>
        </w:rPr>
      </w:pPr>
      <w:r w:rsidRPr="00E82D27">
        <w:rPr>
          <w:rFonts w:ascii="Calibri" w:eastAsia="Times New Roman" w:hAnsi="Calibri" w:cs="Times New Roman"/>
          <w:color w:val="3333FF"/>
          <w:kern w:val="28"/>
          <w:sz w:val="20"/>
          <w:szCs w:val="20"/>
        </w:rPr>
        <w:t>Systems are in place to manage risk and enable the effective management and operations of a quality service</w:t>
      </w:r>
    </w:p>
    <w:p w:rsidR="00E82D27" w:rsidRPr="00E82D27" w:rsidRDefault="00E82D27" w:rsidP="00E82D27">
      <w:pPr>
        <w:widowControl w:val="0"/>
        <w:spacing w:after="120" w:line="285" w:lineRule="auto"/>
        <w:rPr>
          <w:rFonts w:ascii="Calibri" w:eastAsia="Times New Roman" w:hAnsi="Calibri" w:cs="Times New Roman"/>
          <w:color w:val="3333FF"/>
          <w:kern w:val="28"/>
          <w:sz w:val="20"/>
          <w:szCs w:val="20"/>
        </w:rPr>
      </w:pPr>
      <w:r w:rsidRPr="00E82D27">
        <w:rPr>
          <w:rFonts w:ascii="Calibri" w:eastAsia="Times New Roman" w:hAnsi="Calibri" w:cs="Times New Roman"/>
          <w:color w:val="3333FF"/>
          <w:kern w:val="28"/>
          <w:sz w:val="20"/>
          <w:szCs w:val="20"/>
        </w:rPr>
        <w:t xml:space="preserve">7.1.3 Roles and Responsibilities </w:t>
      </w:r>
    </w:p>
    <w:p w:rsidR="00E82D27" w:rsidRPr="00E82D27" w:rsidRDefault="00E82D27" w:rsidP="00E82D27">
      <w:pPr>
        <w:widowControl w:val="0"/>
        <w:spacing w:after="120" w:line="285" w:lineRule="auto"/>
        <w:rPr>
          <w:rFonts w:ascii="Calibri" w:eastAsia="Times New Roman" w:hAnsi="Calibri" w:cs="Times New Roman"/>
          <w:color w:val="3333FF"/>
          <w:kern w:val="28"/>
          <w:sz w:val="20"/>
          <w:szCs w:val="20"/>
        </w:rPr>
      </w:pPr>
      <w:r w:rsidRPr="00E82D27">
        <w:rPr>
          <w:rFonts w:ascii="Calibri" w:eastAsia="Times New Roman" w:hAnsi="Calibri" w:cs="Times New Roman"/>
          <w:color w:val="3333FF"/>
          <w:kern w:val="28"/>
          <w:sz w:val="20"/>
          <w:szCs w:val="20"/>
        </w:rPr>
        <w:t xml:space="preserve">Roles and responsibilities are clearly defined, and understood, and support effective decision making </w:t>
      </w:r>
      <w:proofErr w:type="gramStart"/>
      <w:r w:rsidRPr="00E82D27">
        <w:rPr>
          <w:rFonts w:ascii="Calibri" w:eastAsia="Times New Roman" w:hAnsi="Calibri" w:cs="Times New Roman"/>
          <w:color w:val="3333FF"/>
          <w:kern w:val="28"/>
          <w:sz w:val="20"/>
          <w:szCs w:val="20"/>
        </w:rPr>
        <w:t>and  operation</w:t>
      </w:r>
      <w:proofErr w:type="gramEnd"/>
      <w:r w:rsidRPr="00E82D27">
        <w:rPr>
          <w:rFonts w:ascii="Calibri" w:eastAsia="Times New Roman" w:hAnsi="Calibri" w:cs="Times New Roman"/>
          <w:color w:val="3333FF"/>
          <w:kern w:val="28"/>
          <w:sz w:val="20"/>
          <w:szCs w:val="20"/>
        </w:rPr>
        <w:t xml:space="preserve"> of the service  </w:t>
      </w:r>
    </w:p>
    <w:p w:rsidR="00E82D27" w:rsidRPr="00E82D27" w:rsidRDefault="00E82D27" w:rsidP="00E82D27">
      <w:pPr>
        <w:widowControl w:val="0"/>
        <w:spacing w:after="120" w:line="285" w:lineRule="auto"/>
        <w:rPr>
          <w:rFonts w:ascii="Calibri" w:eastAsia="Times New Roman" w:hAnsi="Calibri" w:cs="Times New Roman"/>
          <w:b/>
          <w:bCs/>
          <w:color w:val="3333FF"/>
          <w:kern w:val="28"/>
          <w:sz w:val="20"/>
          <w:szCs w:val="20"/>
        </w:rPr>
      </w:pPr>
      <w:r w:rsidRPr="00E82D27">
        <w:rPr>
          <w:rFonts w:ascii="Calibri" w:eastAsia="Times New Roman" w:hAnsi="Calibri" w:cs="Times New Roman"/>
          <w:b/>
          <w:bCs/>
          <w:color w:val="3333FF"/>
          <w:kern w:val="28"/>
          <w:sz w:val="20"/>
          <w:szCs w:val="20"/>
        </w:rPr>
        <w:t>7.2 Leadership- Effective leadership builds and promotes a positive organisational cultu</w:t>
      </w:r>
      <w:r>
        <w:rPr>
          <w:rFonts w:ascii="Calibri" w:eastAsia="Times New Roman" w:hAnsi="Calibri" w:cs="Times New Roman"/>
          <w:b/>
          <w:bCs/>
          <w:color w:val="3333FF"/>
          <w:kern w:val="28"/>
          <w:sz w:val="20"/>
          <w:szCs w:val="20"/>
        </w:rPr>
        <w:t>re and professional learning</w:t>
      </w:r>
      <w:r w:rsidRPr="00E82D27">
        <w:rPr>
          <w:rFonts w:ascii="Calibri" w:eastAsia="Times New Roman" w:hAnsi="Calibri" w:cs="Times New Roman"/>
          <w:b/>
          <w:bCs/>
          <w:color w:val="3333FF"/>
          <w:kern w:val="28"/>
          <w:sz w:val="20"/>
          <w:szCs w:val="20"/>
        </w:rPr>
        <w:t xml:space="preserve"> community </w:t>
      </w:r>
    </w:p>
    <w:p w:rsidR="00E82D27" w:rsidRPr="00E82D27" w:rsidRDefault="00E82D27" w:rsidP="00E82D27">
      <w:pPr>
        <w:widowControl w:val="0"/>
        <w:spacing w:after="120" w:line="285" w:lineRule="auto"/>
        <w:rPr>
          <w:rFonts w:ascii="Calibri" w:eastAsia="Times New Roman" w:hAnsi="Calibri" w:cs="Times New Roman"/>
          <w:color w:val="3333FF"/>
          <w:kern w:val="28"/>
          <w:sz w:val="20"/>
          <w:szCs w:val="20"/>
        </w:rPr>
      </w:pPr>
      <w:r w:rsidRPr="00E82D27">
        <w:rPr>
          <w:rFonts w:ascii="Calibri" w:eastAsia="Times New Roman" w:hAnsi="Calibri" w:cs="Times New Roman"/>
          <w:color w:val="3333FF"/>
          <w:kern w:val="28"/>
          <w:sz w:val="20"/>
          <w:szCs w:val="20"/>
        </w:rPr>
        <w:lastRenderedPageBreak/>
        <w:t>7.2.3 Development of professionals</w:t>
      </w:r>
    </w:p>
    <w:p w:rsidR="00E82D27" w:rsidRPr="00E82D27" w:rsidRDefault="00E82D27" w:rsidP="00E82D27">
      <w:pPr>
        <w:widowControl w:val="0"/>
        <w:spacing w:after="120" w:line="285" w:lineRule="auto"/>
        <w:rPr>
          <w:rFonts w:ascii="Calibri" w:eastAsia="Times New Roman" w:hAnsi="Calibri" w:cs="Times New Roman"/>
          <w:color w:val="3333FF"/>
          <w:kern w:val="28"/>
          <w:sz w:val="20"/>
          <w:szCs w:val="20"/>
        </w:rPr>
      </w:pPr>
      <w:r w:rsidRPr="00E82D27">
        <w:rPr>
          <w:rFonts w:ascii="Calibri" w:eastAsia="Times New Roman" w:hAnsi="Calibri" w:cs="Times New Roman"/>
          <w:color w:val="3333FF"/>
          <w:kern w:val="28"/>
          <w:sz w:val="20"/>
          <w:szCs w:val="20"/>
        </w:rPr>
        <w:t xml:space="preserve">Educators, co-ordinators and staff members’ performance is regularly evaluated and individual plans are in place to support learning and development   </w:t>
      </w:r>
    </w:p>
    <w:p w:rsidR="00E82D27" w:rsidRPr="00E82D27" w:rsidRDefault="00E82D27" w:rsidP="00E82D27">
      <w:pPr>
        <w:widowControl w:val="0"/>
        <w:spacing w:after="120" w:line="285" w:lineRule="auto"/>
        <w:rPr>
          <w:rFonts w:ascii="Calibri" w:eastAsia="Times New Roman" w:hAnsi="Calibri" w:cs="Times New Roman"/>
          <w:color w:val="000000"/>
          <w:kern w:val="28"/>
          <w:sz w:val="20"/>
          <w:szCs w:val="20"/>
        </w:rPr>
      </w:pPr>
      <w:r w:rsidRPr="00E82D27">
        <w:rPr>
          <w:rFonts w:ascii="Calibri" w:eastAsia="Times New Roman" w:hAnsi="Calibri" w:cs="Times New Roman"/>
          <w:color w:val="000000"/>
          <w:kern w:val="28"/>
          <w:sz w:val="20"/>
          <w:szCs w:val="20"/>
        </w:rPr>
        <w:t> </w:t>
      </w:r>
    </w:p>
    <w:p w:rsidR="00A24B11" w:rsidRDefault="00A24B11" w:rsidP="00E82D27">
      <w:pPr>
        <w:tabs>
          <w:tab w:val="left" w:pos="851"/>
        </w:tabs>
        <w:rPr>
          <w:rFonts w:cs="Calibri"/>
          <w:sz w:val="20"/>
          <w:szCs w:val="20"/>
        </w:rPr>
      </w:pPr>
      <w:r>
        <w:rPr>
          <w:rFonts w:cs="Calibri"/>
          <w:sz w:val="20"/>
          <w:szCs w:val="20"/>
        </w:rPr>
        <w:t>Linked to Education and Care Services National regulations (2011) and Education and Early Childhood Services</w:t>
      </w:r>
    </w:p>
    <w:p w:rsidR="00A24B11" w:rsidRDefault="00A24B11" w:rsidP="00A24B11">
      <w:pPr>
        <w:tabs>
          <w:tab w:val="left" w:pos="851"/>
        </w:tabs>
        <w:ind w:left="851" w:hanging="851"/>
        <w:rPr>
          <w:rFonts w:cs="Calibri"/>
          <w:sz w:val="20"/>
          <w:szCs w:val="20"/>
        </w:rPr>
      </w:pPr>
      <w:r>
        <w:rPr>
          <w:rFonts w:cs="Calibri"/>
          <w:sz w:val="20"/>
          <w:szCs w:val="20"/>
        </w:rPr>
        <w:t>(Registration and Standards) Law 2011</w:t>
      </w:r>
    </w:p>
    <w:p w:rsidR="00A24B11" w:rsidRDefault="00A24B11" w:rsidP="00A24B11">
      <w:pPr>
        <w:tabs>
          <w:tab w:val="left" w:pos="851"/>
        </w:tabs>
        <w:ind w:left="851" w:hanging="851"/>
        <w:rPr>
          <w:rFonts w:cs="Calibri"/>
          <w:b/>
          <w:sz w:val="20"/>
          <w:szCs w:val="20"/>
        </w:rPr>
      </w:pPr>
      <w:r>
        <w:rPr>
          <w:rFonts w:cs="Calibri"/>
          <w:b/>
          <w:sz w:val="20"/>
          <w:szCs w:val="20"/>
        </w:rPr>
        <w:t>Regulation</w:t>
      </w:r>
    </w:p>
    <w:p w:rsidR="00A24B11" w:rsidRDefault="00A24B11" w:rsidP="00A24B11">
      <w:pPr>
        <w:tabs>
          <w:tab w:val="left" w:pos="851"/>
        </w:tabs>
        <w:ind w:left="851" w:hanging="851"/>
        <w:rPr>
          <w:rFonts w:cs="Calibri"/>
          <w:b/>
          <w:sz w:val="20"/>
          <w:szCs w:val="20"/>
        </w:rPr>
      </w:pPr>
      <w:r>
        <w:rPr>
          <w:rFonts w:cs="Calibri"/>
          <w:b/>
          <w:sz w:val="20"/>
          <w:szCs w:val="20"/>
        </w:rPr>
        <w:t>Law</w:t>
      </w:r>
    </w:p>
    <w:p w:rsidR="00A24B11" w:rsidRDefault="00A24B11" w:rsidP="00A24B11">
      <w:pPr>
        <w:tabs>
          <w:tab w:val="left" w:pos="851"/>
        </w:tabs>
        <w:ind w:left="851" w:hanging="851"/>
        <w:rPr>
          <w:rFonts w:cs="Calibri"/>
          <w:b/>
          <w:sz w:val="20"/>
          <w:szCs w:val="20"/>
        </w:rPr>
      </w:pPr>
      <w:r>
        <w:rPr>
          <w:rFonts w:cs="Calibri"/>
          <w:b/>
          <w:sz w:val="20"/>
          <w:szCs w:val="20"/>
        </w:rPr>
        <w:t>Policy statement</w:t>
      </w:r>
    </w:p>
    <w:p w:rsidR="00827E8E" w:rsidRDefault="00827E8E" w:rsidP="00562E69">
      <w:pPr>
        <w:pStyle w:val="ListParagraph"/>
        <w:tabs>
          <w:tab w:val="left" w:pos="851"/>
        </w:tabs>
        <w:ind w:left="750"/>
        <w:rPr>
          <w:rFonts w:cs="Calibri"/>
          <w:sz w:val="20"/>
          <w:szCs w:val="20"/>
        </w:rPr>
      </w:pPr>
      <w:r>
        <w:rPr>
          <w:rFonts w:cs="Calibri"/>
          <w:sz w:val="20"/>
          <w:szCs w:val="20"/>
        </w:rPr>
        <w:t>Toybox CCCC complies with State Health and Medical guidelines. Every child is entitled to be kept safe and well while in care. A record of illness is kept on the premises. Parents/care givers are encouraged to support the centre in following exclusion periods of communicable diseases and where exclusion guidelines are not present, to observe their child's general health and keep away from the centre if showing signs of illness.</w:t>
      </w:r>
    </w:p>
    <w:p w:rsidR="00827E8E" w:rsidRDefault="00827E8E" w:rsidP="00562E69">
      <w:pPr>
        <w:pStyle w:val="ListParagraph"/>
        <w:tabs>
          <w:tab w:val="left" w:pos="851"/>
        </w:tabs>
        <w:ind w:left="750"/>
        <w:rPr>
          <w:rFonts w:cs="Calibri"/>
          <w:sz w:val="20"/>
          <w:szCs w:val="20"/>
        </w:rPr>
      </w:pPr>
    </w:p>
    <w:p w:rsidR="00827E8E" w:rsidRDefault="00827E8E" w:rsidP="00562E69">
      <w:pPr>
        <w:pStyle w:val="ListParagraph"/>
        <w:tabs>
          <w:tab w:val="left" w:pos="851"/>
        </w:tabs>
        <w:ind w:left="750"/>
        <w:rPr>
          <w:rFonts w:cs="Calibri"/>
          <w:sz w:val="20"/>
          <w:szCs w:val="20"/>
        </w:rPr>
      </w:pPr>
      <w:r>
        <w:rPr>
          <w:rFonts w:cs="Calibri"/>
          <w:sz w:val="20"/>
          <w:szCs w:val="20"/>
        </w:rPr>
        <w:t>Table of Recommended Exclusion Periods</w:t>
      </w:r>
    </w:p>
    <w:tbl>
      <w:tblPr>
        <w:tblStyle w:val="TableGrid"/>
        <w:tblW w:w="0" w:type="auto"/>
        <w:tblInd w:w="750" w:type="dxa"/>
        <w:tblLook w:val="04A0" w:firstRow="1" w:lastRow="0" w:firstColumn="1" w:lastColumn="0" w:noHBand="0" w:noVBand="1"/>
      </w:tblPr>
      <w:tblGrid>
        <w:gridCol w:w="2833"/>
        <w:gridCol w:w="2772"/>
        <w:gridCol w:w="2887"/>
      </w:tblGrid>
      <w:tr w:rsidR="00D645D6" w:rsidTr="00827E8E">
        <w:tc>
          <w:tcPr>
            <w:tcW w:w="3080" w:type="dxa"/>
          </w:tcPr>
          <w:p w:rsidR="00827E8E" w:rsidRPr="00827E8E" w:rsidRDefault="00827E8E" w:rsidP="00562E69">
            <w:pPr>
              <w:pStyle w:val="ListParagraph"/>
              <w:tabs>
                <w:tab w:val="left" w:pos="851"/>
              </w:tabs>
              <w:ind w:left="0"/>
              <w:rPr>
                <w:rFonts w:cs="Calibri"/>
                <w:b/>
                <w:sz w:val="20"/>
                <w:szCs w:val="20"/>
              </w:rPr>
            </w:pPr>
            <w:r>
              <w:rPr>
                <w:rFonts w:cs="Calibri"/>
                <w:b/>
                <w:sz w:val="20"/>
                <w:szCs w:val="20"/>
              </w:rPr>
              <w:t>CONDITION</w:t>
            </w:r>
          </w:p>
        </w:tc>
        <w:tc>
          <w:tcPr>
            <w:tcW w:w="3081" w:type="dxa"/>
          </w:tcPr>
          <w:p w:rsidR="00827E8E" w:rsidRPr="00827E8E" w:rsidRDefault="00827E8E" w:rsidP="00562E69">
            <w:pPr>
              <w:pStyle w:val="ListParagraph"/>
              <w:tabs>
                <w:tab w:val="left" w:pos="851"/>
              </w:tabs>
              <w:ind w:left="0"/>
              <w:rPr>
                <w:rFonts w:cs="Calibri"/>
                <w:b/>
                <w:sz w:val="20"/>
                <w:szCs w:val="20"/>
              </w:rPr>
            </w:pPr>
            <w:r>
              <w:rPr>
                <w:rFonts w:cs="Calibri"/>
                <w:b/>
                <w:sz w:val="20"/>
                <w:szCs w:val="20"/>
              </w:rPr>
              <w:t>Exclusion of case</w:t>
            </w:r>
          </w:p>
        </w:tc>
        <w:tc>
          <w:tcPr>
            <w:tcW w:w="3081" w:type="dxa"/>
          </w:tcPr>
          <w:p w:rsidR="00827E8E" w:rsidRPr="00804C19" w:rsidRDefault="00827E8E" w:rsidP="00562E69">
            <w:pPr>
              <w:pStyle w:val="ListParagraph"/>
              <w:tabs>
                <w:tab w:val="left" w:pos="851"/>
              </w:tabs>
              <w:ind w:left="0"/>
              <w:rPr>
                <w:rFonts w:cs="Calibri"/>
                <w:b/>
                <w:sz w:val="16"/>
                <w:szCs w:val="16"/>
              </w:rPr>
            </w:pPr>
            <w:r>
              <w:rPr>
                <w:rFonts w:cs="Calibri"/>
                <w:b/>
                <w:sz w:val="20"/>
                <w:szCs w:val="20"/>
              </w:rPr>
              <w:t>Exclusion of contacts</w:t>
            </w:r>
            <w:r w:rsidR="00804C19">
              <w:rPr>
                <w:rFonts w:cs="Calibri"/>
                <w:b/>
                <w:sz w:val="20"/>
                <w:szCs w:val="20"/>
              </w:rPr>
              <w:t xml:space="preserve"> </w:t>
            </w:r>
          </w:p>
        </w:tc>
      </w:tr>
      <w:tr w:rsidR="00D645D6" w:rsidTr="00827E8E">
        <w:tc>
          <w:tcPr>
            <w:tcW w:w="3080" w:type="dxa"/>
          </w:tcPr>
          <w:p w:rsidR="00827E8E" w:rsidRDefault="00827E8E" w:rsidP="00562E69">
            <w:pPr>
              <w:pStyle w:val="ListParagraph"/>
              <w:tabs>
                <w:tab w:val="left" w:pos="851"/>
              </w:tabs>
              <w:ind w:left="0"/>
              <w:rPr>
                <w:rFonts w:cs="Calibri"/>
                <w:sz w:val="20"/>
                <w:szCs w:val="20"/>
              </w:rPr>
            </w:pPr>
            <w:r>
              <w:rPr>
                <w:rFonts w:cs="Calibri"/>
                <w:i/>
                <w:sz w:val="20"/>
                <w:szCs w:val="20"/>
              </w:rPr>
              <w:t xml:space="preserve">Campylobacter </w:t>
            </w:r>
            <w:r>
              <w:rPr>
                <w:rFonts w:cs="Calibri"/>
                <w:sz w:val="20"/>
                <w:szCs w:val="20"/>
              </w:rPr>
              <w:t>infection</w:t>
            </w:r>
          </w:p>
          <w:p w:rsidR="00827E8E" w:rsidRPr="00827E8E" w:rsidRDefault="00827E8E" w:rsidP="00562E69">
            <w:pPr>
              <w:pStyle w:val="ListParagraph"/>
              <w:tabs>
                <w:tab w:val="left" w:pos="851"/>
              </w:tabs>
              <w:ind w:left="0"/>
              <w:rPr>
                <w:rFonts w:cs="Calibri"/>
                <w:sz w:val="20"/>
                <w:szCs w:val="20"/>
              </w:rPr>
            </w:pPr>
            <w:r>
              <w:rPr>
                <w:rFonts w:cs="Calibri"/>
                <w:sz w:val="20"/>
                <w:szCs w:val="20"/>
              </w:rPr>
              <w:t>(Gastro)</w:t>
            </w:r>
          </w:p>
        </w:tc>
        <w:tc>
          <w:tcPr>
            <w:tcW w:w="3081" w:type="dxa"/>
          </w:tcPr>
          <w:p w:rsidR="00827E8E" w:rsidRPr="00804C19" w:rsidRDefault="00827E8E" w:rsidP="00562E69">
            <w:pPr>
              <w:pStyle w:val="ListParagraph"/>
              <w:tabs>
                <w:tab w:val="left" w:pos="851"/>
              </w:tabs>
              <w:ind w:left="0"/>
              <w:rPr>
                <w:rFonts w:cs="Calibri"/>
                <w:sz w:val="16"/>
                <w:szCs w:val="16"/>
              </w:rPr>
            </w:pPr>
            <w:r>
              <w:rPr>
                <w:rFonts w:cs="Calibri"/>
                <w:sz w:val="20"/>
                <w:szCs w:val="20"/>
              </w:rPr>
              <w:t>Exclude until there has not been a loose bowel motion for 24 hrs</w:t>
            </w:r>
            <w:r w:rsidR="00BE5EDD">
              <w:rPr>
                <w:rFonts w:cs="Calibri"/>
                <w:sz w:val="20"/>
                <w:szCs w:val="20"/>
              </w:rPr>
              <w:t xml:space="preserve"> </w:t>
            </w:r>
          </w:p>
        </w:tc>
        <w:tc>
          <w:tcPr>
            <w:tcW w:w="3081" w:type="dxa"/>
          </w:tcPr>
          <w:p w:rsidR="00827E8E" w:rsidRDefault="00827E8E"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827E8E" w:rsidP="00562E69">
            <w:pPr>
              <w:pStyle w:val="ListParagraph"/>
              <w:tabs>
                <w:tab w:val="left" w:pos="851"/>
              </w:tabs>
              <w:ind w:left="0"/>
              <w:rPr>
                <w:rFonts w:cs="Calibri"/>
                <w:sz w:val="20"/>
                <w:szCs w:val="20"/>
              </w:rPr>
            </w:pPr>
            <w:r>
              <w:rPr>
                <w:rFonts w:cs="Calibri"/>
                <w:sz w:val="20"/>
                <w:szCs w:val="20"/>
              </w:rPr>
              <w:t>Candidiasis (thrush)</w:t>
            </w:r>
          </w:p>
        </w:tc>
        <w:tc>
          <w:tcPr>
            <w:tcW w:w="3081" w:type="dxa"/>
          </w:tcPr>
          <w:p w:rsidR="00827E8E" w:rsidRDefault="00827E8E" w:rsidP="00562E69">
            <w:pPr>
              <w:pStyle w:val="ListParagraph"/>
              <w:tabs>
                <w:tab w:val="left" w:pos="851"/>
              </w:tabs>
              <w:ind w:left="0"/>
              <w:rPr>
                <w:rFonts w:cs="Calibri"/>
                <w:sz w:val="20"/>
                <w:szCs w:val="20"/>
              </w:rPr>
            </w:pPr>
            <w:r>
              <w:rPr>
                <w:rFonts w:cs="Calibri"/>
                <w:sz w:val="20"/>
                <w:szCs w:val="20"/>
              </w:rPr>
              <w:t>Not excluded</w:t>
            </w:r>
          </w:p>
        </w:tc>
        <w:tc>
          <w:tcPr>
            <w:tcW w:w="3081" w:type="dxa"/>
          </w:tcPr>
          <w:p w:rsidR="00827E8E" w:rsidRDefault="00827E8E"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827E8E" w:rsidP="00562E69">
            <w:pPr>
              <w:pStyle w:val="ListParagraph"/>
              <w:tabs>
                <w:tab w:val="left" w:pos="851"/>
              </w:tabs>
              <w:ind w:left="0"/>
              <w:rPr>
                <w:rFonts w:cs="Calibri"/>
                <w:sz w:val="20"/>
                <w:szCs w:val="20"/>
              </w:rPr>
            </w:pPr>
            <w:r>
              <w:rPr>
                <w:rFonts w:cs="Calibri"/>
                <w:sz w:val="20"/>
                <w:szCs w:val="20"/>
              </w:rPr>
              <w:t>Cytomegalovirus (CMV) infection</w:t>
            </w:r>
          </w:p>
        </w:tc>
        <w:tc>
          <w:tcPr>
            <w:tcW w:w="3081" w:type="dxa"/>
          </w:tcPr>
          <w:p w:rsidR="00827E8E" w:rsidRDefault="00827E8E" w:rsidP="00562E69">
            <w:pPr>
              <w:pStyle w:val="ListParagraph"/>
              <w:tabs>
                <w:tab w:val="left" w:pos="851"/>
              </w:tabs>
              <w:ind w:left="0"/>
              <w:rPr>
                <w:rFonts w:cs="Calibri"/>
                <w:sz w:val="20"/>
                <w:szCs w:val="20"/>
              </w:rPr>
            </w:pPr>
            <w:r>
              <w:rPr>
                <w:rFonts w:cs="Calibri"/>
                <w:sz w:val="20"/>
                <w:szCs w:val="20"/>
              </w:rPr>
              <w:t>Not excluded</w:t>
            </w:r>
          </w:p>
        </w:tc>
        <w:tc>
          <w:tcPr>
            <w:tcW w:w="3081" w:type="dxa"/>
          </w:tcPr>
          <w:p w:rsidR="00827E8E" w:rsidRDefault="00827E8E"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827E8E" w:rsidP="00562E69">
            <w:pPr>
              <w:pStyle w:val="ListParagraph"/>
              <w:tabs>
                <w:tab w:val="left" w:pos="851"/>
              </w:tabs>
              <w:ind w:left="0"/>
              <w:rPr>
                <w:rFonts w:cs="Calibri"/>
                <w:sz w:val="20"/>
                <w:szCs w:val="20"/>
              </w:rPr>
            </w:pPr>
            <w:r>
              <w:rPr>
                <w:rFonts w:cs="Calibri"/>
                <w:sz w:val="20"/>
                <w:szCs w:val="20"/>
              </w:rPr>
              <w:t>Conjunctivitis</w:t>
            </w:r>
          </w:p>
        </w:tc>
        <w:tc>
          <w:tcPr>
            <w:tcW w:w="3081" w:type="dxa"/>
          </w:tcPr>
          <w:p w:rsidR="00827E8E" w:rsidRDefault="00827E8E" w:rsidP="00562E69">
            <w:pPr>
              <w:pStyle w:val="ListParagraph"/>
              <w:tabs>
                <w:tab w:val="left" w:pos="851"/>
              </w:tabs>
              <w:ind w:left="0"/>
              <w:rPr>
                <w:rFonts w:cs="Calibri"/>
                <w:sz w:val="20"/>
                <w:szCs w:val="20"/>
              </w:rPr>
            </w:pPr>
            <w:r>
              <w:rPr>
                <w:rFonts w:cs="Calibri"/>
                <w:sz w:val="20"/>
                <w:szCs w:val="20"/>
              </w:rPr>
              <w:t xml:space="preserve">Exclude until discharge from the eyes has stopped, unless a doctor has diagnosed non-infectious </w:t>
            </w:r>
            <w:r w:rsidR="00552241">
              <w:rPr>
                <w:rFonts w:cs="Calibri"/>
                <w:sz w:val="20"/>
                <w:szCs w:val="20"/>
              </w:rPr>
              <w:t>conjunctivitis</w:t>
            </w:r>
          </w:p>
        </w:tc>
        <w:tc>
          <w:tcPr>
            <w:tcW w:w="3081" w:type="dxa"/>
          </w:tcPr>
          <w:p w:rsidR="00827E8E" w:rsidRDefault="00552241"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552241" w:rsidP="00562E69">
            <w:pPr>
              <w:pStyle w:val="ListParagraph"/>
              <w:tabs>
                <w:tab w:val="left" w:pos="851"/>
              </w:tabs>
              <w:ind w:left="0"/>
              <w:rPr>
                <w:rFonts w:cs="Calibri"/>
                <w:i/>
                <w:sz w:val="20"/>
                <w:szCs w:val="20"/>
              </w:rPr>
            </w:pPr>
            <w:r>
              <w:rPr>
                <w:rFonts w:cs="Calibri"/>
                <w:i/>
                <w:sz w:val="20"/>
                <w:szCs w:val="20"/>
              </w:rPr>
              <w:t>Cryptosporidium</w:t>
            </w:r>
          </w:p>
          <w:p w:rsidR="00552241" w:rsidRPr="00552241" w:rsidRDefault="00552241" w:rsidP="00562E69">
            <w:pPr>
              <w:pStyle w:val="ListParagraph"/>
              <w:tabs>
                <w:tab w:val="left" w:pos="851"/>
              </w:tabs>
              <w:ind w:left="0"/>
              <w:rPr>
                <w:rFonts w:cs="Calibri"/>
                <w:sz w:val="20"/>
                <w:szCs w:val="20"/>
              </w:rPr>
            </w:pPr>
            <w:r>
              <w:rPr>
                <w:rFonts w:cs="Calibri"/>
                <w:sz w:val="20"/>
                <w:szCs w:val="20"/>
              </w:rPr>
              <w:t>(Gastro)</w:t>
            </w:r>
          </w:p>
        </w:tc>
        <w:tc>
          <w:tcPr>
            <w:tcW w:w="3081" w:type="dxa"/>
          </w:tcPr>
          <w:p w:rsidR="00827E8E" w:rsidRPr="00804C19" w:rsidRDefault="00552241" w:rsidP="00562E69">
            <w:pPr>
              <w:pStyle w:val="ListParagraph"/>
              <w:tabs>
                <w:tab w:val="left" w:pos="851"/>
              </w:tabs>
              <w:ind w:left="0"/>
              <w:rPr>
                <w:rFonts w:cs="Calibri"/>
                <w:sz w:val="16"/>
                <w:szCs w:val="16"/>
              </w:rPr>
            </w:pPr>
            <w:r>
              <w:rPr>
                <w:rFonts w:cs="Calibri"/>
                <w:sz w:val="20"/>
                <w:szCs w:val="20"/>
              </w:rPr>
              <w:t>Exclude until there has not been a loose bowel motion for 24 hrs</w:t>
            </w:r>
            <w:r w:rsidR="00804C19">
              <w:rPr>
                <w:rFonts w:cs="Calibri"/>
                <w:sz w:val="20"/>
                <w:szCs w:val="20"/>
              </w:rPr>
              <w:t xml:space="preserve"> </w:t>
            </w:r>
          </w:p>
        </w:tc>
        <w:tc>
          <w:tcPr>
            <w:tcW w:w="3081" w:type="dxa"/>
          </w:tcPr>
          <w:p w:rsidR="00827E8E" w:rsidRDefault="00552241"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AD31C8" w:rsidP="00562E69">
            <w:pPr>
              <w:pStyle w:val="ListParagraph"/>
              <w:tabs>
                <w:tab w:val="left" w:pos="851"/>
              </w:tabs>
              <w:ind w:left="0"/>
              <w:rPr>
                <w:rFonts w:cs="Calibri"/>
                <w:sz w:val="20"/>
                <w:szCs w:val="20"/>
              </w:rPr>
            </w:pPr>
            <w:r>
              <w:rPr>
                <w:rFonts w:cs="Calibri"/>
                <w:sz w:val="20"/>
                <w:szCs w:val="20"/>
              </w:rPr>
              <w:t>Diarrhoea</w:t>
            </w:r>
          </w:p>
          <w:p w:rsidR="00AD31C8" w:rsidRDefault="00AD31C8" w:rsidP="00562E69">
            <w:pPr>
              <w:pStyle w:val="ListParagraph"/>
              <w:tabs>
                <w:tab w:val="left" w:pos="851"/>
              </w:tabs>
              <w:ind w:left="0"/>
              <w:rPr>
                <w:rFonts w:cs="Calibri"/>
                <w:sz w:val="20"/>
                <w:szCs w:val="20"/>
              </w:rPr>
            </w:pPr>
            <w:r>
              <w:rPr>
                <w:rFonts w:cs="Calibri"/>
                <w:sz w:val="20"/>
                <w:szCs w:val="20"/>
              </w:rPr>
              <w:t>(No organism identified)</w:t>
            </w:r>
          </w:p>
        </w:tc>
        <w:tc>
          <w:tcPr>
            <w:tcW w:w="3081" w:type="dxa"/>
          </w:tcPr>
          <w:p w:rsidR="00827E8E" w:rsidRPr="00804C19" w:rsidRDefault="00AD31C8" w:rsidP="00562E69">
            <w:pPr>
              <w:pStyle w:val="ListParagraph"/>
              <w:tabs>
                <w:tab w:val="left" w:pos="851"/>
              </w:tabs>
              <w:ind w:left="0"/>
              <w:rPr>
                <w:rFonts w:cs="Calibri"/>
                <w:sz w:val="16"/>
                <w:szCs w:val="16"/>
              </w:rPr>
            </w:pPr>
            <w:r>
              <w:rPr>
                <w:rFonts w:cs="Calibri"/>
                <w:sz w:val="20"/>
                <w:szCs w:val="20"/>
              </w:rPr>
              <w:t>Exclude until there has not been a loose bowel motion for 24 hrs</w:t>
            </w:r>
            <w:r w:rsidR="00804C19">
              <w:rPr>
                <w:rFonts w:cs="Calibri"/>
                <w:sz w:val="20"/>
                <w:szCs w:val="20"/>
              </w:rPr>
              <w:t xml:space="preserve"> </w:t>
            </w:r>
          </w:p>
        </w:tc>
        <w:tc>
          <w:tcPr>
            <w:tcW w:w="3081" w:type="dxa"/>
          </w:tcPr>
          <w:p w:rsidR="00827E8E" w:rsidRDefault="00AD31C8"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AD31C8" w:rsidP="00562E69">
            <w:pPr>
              <w:pStyle w:val="ListParagraph"/>
              <w:tabs>
                <w:tab w:val="left" w:pos="851"/>
              </w:tabs>
              <w:ind w:left="0"/>
              <w:rPr>
                <w:rFonts w:cs="Calibri"/>
                <w:sz w:val="20"/>
                <w:szCs w:val="20"/>
              </w:rPr>
            </w:pPr>
            <w:r>
              <w:rPr>
                <w:rFonts w:cs="Calibri"/>
                <w:sz w:val="20"/>
                <w:szCs w:val="20"/>
              </w:rPr>
              <w:t>Fungal infections of the skin or nails (e.g. ringworm, tinea)</w:t>
            </w:r>
          </w:p>
        </w:tc>
        <w:tc>
          <w:tcPr>
            <w:tcW w:w="3081" w:type="dxa"/>
          </w:tcPr>
          <w:p w:rsidR="00827E8E" w:rsidRDefault="00AD31C8" w:rsidP="00562E69">
            <w:pPr>
              <w:pStyle w:val="ListParagraph"/>
              <w:tabs>
                <w:tab w:val="left" w:pos="851"/>
              </w:tabs>
              <w:ind w:left="0"/>
              <w:rPr>
                <w:rFonts w:cs="Calibri"/>
                <w:sz w:val="20"/>
                <w:szCs w:val="20"/>
              </w:rPr>
            </w:pPr>
            <w:r>
              <w:rPr>
                <w:rFonts w:cs="Calibri"/>
                <w:sz w:val="20"/>
                <w:szCs w:val="20"/>
              </w:rPr>
              <w:t>Exclude until the day after starting appropriate antifungal treatment</w:t>
            </w:r>
          </w:p>
        </w:tc>
        <w:tc>
          <w:tcPr>
            <w:tcW w:w="3081" w:type="dxa"/>
          </w:tcPr>
          <w:p w:rsidR="00827E8E" w:rsidRDefault="00AD31C8"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AD31C8" w:rsidP="00562E69">
            <w:pPr>
              <w:pStyle w:val="ListParagraph"/>
              <w:tabs>
                <w:tab w:val="left" w:pos="851"/>
              </w:tabs>
              <w:ind w:left="0"/>
              <w:rPr>
                <w:rFonts w:cs="Calibri"/>
                <w:sz w:val="20"/>
                <w:szCs w:val="20"/>
              </w:rPr>
            </w:pPr>
            <w:r>
              <w:rPr>
                <w:rFonts w:cs="Calibri"/>
                <w:sz w:val="20"/>
                <w:szCs w:val="20"/>
              </w:rPr>
              <w:t>Giardiasis</w:t>
            </w:r>
          </w:p>
          <w:p w:rsidR="00AD31C8" w:rsidRDefault="00AD31C8" w:rsidP="00562E69">
            <w:pPr>
              <w:pStyle w:val="ListParagraph"/>
              <w:tabs>
                <w:tab w:val="left" w:pos="851"/>
              </w:tabs>
              <w:ind w:left="0"/>
              <w:rPr>
                <w:rFonts w:cs="Calibri"/>
                <w:sz w:val="20"/>
                <w:szCs w:val="20"/>
              </w:rPr>
            </w:pPr>
            <w:r>
              <w:rPr>
                <w:rFonts w:cs="Calibri"/>
                <w:sz w:val="20"/>
                <w:szCs w:val="20"/>
              </w:rPr>
              <w:t>(Gastro)</w:t>
            </w:r>
          </w:p>
        </w:tc>
        <w:tc>
          <w:tcPr>
            <w:tcW w:w="3081" w:type="dxa"/>
          </w:tcPr>
          <w:p w:rsidR="00827E8E" w:rsidRPr="00804C19" w:rsidRDefault="00AD31C8" w:rsidP="00562E69">
            <w:pPr>
              <w:pStyle w:val="ListParagraph"/>
              <w:tabs>
                <w:tab w:val="left" w:pos="851"/>
              </w:tabs>
              <w:ind w:left="0"/>
              <w:rPr>
                <w:rFonts w:cs="Calibri"/>
                <w:sz w:val="16"/>
                <w:szCs w:val="16"/>
              </w:rPr>
            </w:pPr>
            <w:r>
              <w:rPr>
                <w:rFonts w:cs="Calibri"/>
                <w:sz w:val="20"/>
                <w:szCs w:val="20"/>
              </w:rPr>
              <w:t>Exclude until there has not been a loose bowel motion for 24 hrs</w:t>
            </w:r>
            <w:r w:rsidR="00804C19">
              <w:rPr>
                <w:rFonts w:cs="Calibri"/>
                <w:sz w:val="20"/>
                <w:szCs w:val="20"/>
              </w:rPr>
              <w:t xml:space="preserve"> </w:t>
            </w:r>
          </w:p>
        </w:tc>
        <w:tc>
          <w:tcPr>
            <w:tcW w:w="3081" w:type="dxa"/>
          </w:tcPr>
          <w:p w:rsidR="00827E8E" w:rsidRDefault="00AD31C8"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AD31C8" w:rsidP="00562E69">
            <w:pPr>
              <w:pStyle w:val="ListParagraph"/>
              <w:tabs>
                <w:tab w:val="left" w:pos="851"/>
              </w:tabs>
              <w:ind w:left="0"/>
              <w:rPr>
                <w:rFonts w:cs="Calibri"/>
                <w:sz w:val="20"/>
                <w:szCs w:val="20"/>
              </w:rPr>
            </w:pPr>
            <w:r>
              <w:rPr>
                <w:rFonts w:cs="Calibri"/>
                <w:sz w:val="20"/>
                <w:szCs w:val="20"/>
              </w:rPr>
              <w:t>Glandular fever (mononucleosis)</w:t>
            </w:r>
          </w:p>
          <w:p w:rsidR="00AD31C8" w:rsidRDefault="00AD31C8" w:rsidP="00562E69">
            <w:pPr>
              <w:pStyle w:val="ListParagraph"/>
              <w:tabs>
                <w:tab w:val="left" w:pos="851"/>
              </w:tabs>
              <w:ind w:left="0"/>
              <w:rPr>
                <w:rFonts w:cs="Calibri"/>
                <w:sz w:val="20"/>
                <w:szCs w:val="20"/>
              </w:rPr>
            </w:pPr>
            <w:r>
              <w:rPr>
                <w:rFonts w:cs="Calibri"/>
                <w:sz w:val="20"/>
                <w:szCs w:val="20"/>
              </w:rPr>
              <w:t>Epstein-Barr virus [EBV]infection)</w:t>
            </w:r>
          </w:p>
        </w:tc>
        <w:tc>
          <w:tcPr>
            <w:tcW w:w="3081" w:type="dxa"/>
          </w:tcPr>
          <w:p w:rsidR="00827E8E" w:rsidRDefault="00AD31C8" w:rsidP="00562E69">
            <w:pPr>
              <w:pStyle w:val="ListParagraph"/>
              <w:tabs>
                <w:tab w:val="left" w:pos="851"/>
              </w:tabs>
              <w:ind w:left="0"/>
              <w:rPr>
                <w:rFonts w:cs="Calibri"/>
                <w:sz w:val="20"/>
                <w:szCs w:val="20"/>
              </w:rPr>
            </w:pPr>
            <w:r>
              <w:rPr>
                <w:rFonts w:cs="Calibri"/>
                <w:sz w:val="20"/>
                <w:szCs w:val="20"/>
              </w:rPr>
              <w:t>Not excluded</w:t>
            </w:r>
          </w:p>
        </w:tc>
        <w:tc>
          <w:tcPr>
            <w:tcW w:w="3081" w:type="dxa"/>
          </w:tcPr>
          <w:p w:rsidR="00827E8E" w:rsidRDefault="00AD31C8"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AD31C8" w:rsidP="00562E69">
            <w:pPr>
              <w:pStyle w:val="ListParagraph"/>
              <w:tabs>
                <w:tab w:val="left" w:pos="851"/>
              </w:tabs>
              <w:ind w:left="0"/>
              <w:rPr>
                <w:rFonts w:cs="Calibri"/>
                <w:sz w:val="20"/>
                <w:szCs w:val="20"/>
              </w:rPr>
            </w:pPr>
            <w:r>
              <w:rPr>
                <w:rFonts w:cs="Calibri"/>
                <w:sz w:val="20"/>
                <w:szCs w:val="20"/>
              </w:rPr>
              <w:t>Hand foot and mouth disease</w:t>
            </w:r>
          </w:p>
        </w:tc>
        <w:tc>
          <w:tcPr>
            <w:tcW w:w="3081" w:type="dxa"/>
          </w:tcPr>
          <w:p w:rsidR="00827E8E" w:rsidRDefault="00AD31C8" w:rsidP="00562E69">
            <w:pPr>
              <w:pStyle w:val="ListParagraph"/>
              <w:tabs>
                <w:tab w:val="left" w:pos="851"/>
              </w:tabs>
              <w:ind w:left="0"/>
              <w:rPr>
                <w:rFonts w:cs="Calibri"/>
                <w:sz w:val="20"/>
                <w:szCs w:val="20"/>
              </w:rPr>
            </w:pPr>
            <w:r>
              <w:rPr>
                <w:rFonts w:cs="Calibri"/>
                <w:sz w:val="20"/>
                <w:szCs w:val="20"/>
              </w:rPr>
              <w:t>Exclude until blisters have dried</w:t>
            </w:r>
          </w:p>
        </w:tc>
        <w:tc>
          <w:tcPr>
            <w:tcW w:w="3081" w:type="dxa"/>
          </w:tcPr>
          <w:p w:rsidR="00827E8E" w:rsidRDefault="00AD31C8"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Pr="00AD31C8" w:rsidRDefault="00E82D27" w:rsidP="00562E69">
            <w:pPr>
              <w:pStyle w:val="ListParagraph"/>
              <w:tabs>
                <w:tab w:val="left" w:pos="851"/>
              </w:tabs>
              <w:ind w:left="0"/>
              <w:rPr>
                <w:rFonts w:cs="Calibri"/>
                <w:sz w:val="20"/>
                <w:szCs w:val="20"/>
              </w:rPr>
            </w:pPr>
            <w:r>
              <w:rPr>
                <w:rFonts w:cs="Calibri"/>
                <w:i/>
                <w:sz w:val="20"/>
                <w:szCs w:val="20"/>
              </w:rPr>
              <w:t>Haemophilus influenza</w:t>
            </w:r>
            <w:r w:rsidR="00AD31C8">
              <w:rPr>
                <w:rFonts w:cs="Calibri"/>
                <w:i/>
                <w:sz w:val="20"/>
                <w:szCs w:val="20"/>
              </w:rPr>
              <w:t xml:space="preserve"> type b </w:t>
            </w:r>
            <w:r w:rsidR="00AD31C8">
              <w:rPr>
                <w:rFonts w:cs="Calibri"/>
                <w:sz w:val="20"/>
                <w:szCs w:val="20"/>
              </w:rPr>
              <w:t>(Hib)</w:t>
            </w:r>
          </w:p>
        </w:tc>
        <w:tc>
          <w:tcPr>
            <w:tcW w:w="3081" w:type="dxa"/>
          </w:tcPr>
          <w:p w:rsidR="00827E8E" w:rsidRDefault="00AD31C8" w:rsidP="00562E69">
            <w:pPr>
              <w:pStyle w:val="ListParagraph"/>
              <w:tabs>
                <w:tab w:val="left" w:pos="851"/>
              </w:tabs>
              <w:ind w:left="0"/>
              <w:rPr>
                <w:rFonts w:cs="Calibri"/>
                <w:sz w:val="20"/>
                <w:szCs w:val="20"/>
              </w:rPr>
            </w:pPr>
            <w:r>
              <w:rPr>
                <w:rFonts w:cs="Calibri"/>
                <w:sz w:val="20"/>
                <w:szCs w:val="20"/>
              </w:rPr>
              <w:t xml:space="preserve">Exclude until the person has received appropriate antibiotic treatment for at least 4 days </w:t>
            </w:r>
          </w:p>
        </w:tc>
        <w:tc>
          <w:tcPr>
            <w:tcW w:w="3081" w:type="dxa"/>
          </w:tcPr>
          <w:p w:rsidR="00827E8E" w:rsidRDefault="00AD31C8" w:rsidP="00562E69">
            <w:pPr>
              <w:pStyle w:val="ListParagraph"/>
              <w:tabs>
                <w:tab w:val="left" w:pos="851"/>
              </w:tabs>
              <w:ind w:left="0"/>
              <w:rPr>
                <w:rFonts w:cs="Calibri"/>
                <w:sz w:val="20"/>
                <w:szCs w:val="20"/>
              </w:rPr>
            </w:pPr>
            <w:r>
              <w:rPr>
                <w:rFonts w:cs="Calibri"/>
                <w:sz w:val="20"/>
                <w:szCs w:val="20"/>
              </w:rPr>
              <w:t>Not excluded</w:t>
            </w:r>
          </w:p>
          <w:p w:rsidR="00AD31C8" w:rsidRDefault="00AD31C8" w:rsidP="00562E69">
            <w:pPr>
              <w:pStyle w:val="ListParagraph"/>
              <w:tabs>
                <w:tab w:val="left" w:pos="851"/>
              </w:tabs>
              <w:ind w:left="0"/>
              <w:rPr>
                <w:rFonts w:cs="Calibri"/>
                <w:sz w:val="20"/>
                <w:szCs w:val="20"/>
              </w:rPr>
            </w:pPr>
            <w:r>
              <w:rPr>
                <w:rFonts w:cs="Calibri"/>
                <w:sz w:val="20"/>
                <w:szCs w:val="20"/>
              </w:rPr>
              <w:t>Contact a public health unit for specialist advice</w:t>
            </w:r>
          </w:p>
        </w:tc>
      </w:tr>
      <w:tr w:rsidR="00D645D6" w:rsidTr="00827E8E">
        <w:tc>
          <w:tcPr>
            <w:tcW w:w="3080" w:type="dxa"/>
          </w:tcPr>
          <w:p w:rsidR="00827E8E" w:rsidRDefault="00AD31C8" w:rsidP="00562E69">
            <w:pPr>
              <w:pStyle w:val="ListParagraph"/>
              <w:tabs>
                <w:tab w:val="left" w:pos="851"/>
              </w:tabs>
              <w:ind w:left="0"/>
              <w:rPr>
                <w:rFonts w:cs="Calibri"/>
                <w:sz w:val="20"/>
                <w:szCs w:val="20"/>
              </w:rPr>
            </w:pPr>
            <w:r>
              <w:rPr>
                <w:rFonts w:cs="Calibri"/>
                <w:sz w:val="20"/>
                <w:szCs w:val="20"/>
              </w:rPr>
              <w:lastRenderedPageBreak/>
              <w:t>Head Lice (pediculosis)</w:t>
            </w:r>
          </w:p>
        </w:tc>
        <w:tc>
          <w:tcPr>
            <w:tcW w:w="3081" w:type="dxa"/>
          </w:tcPr>
          <w:p w:rsidR="00AD31C8" w:rsidRDefault="00AD31C8" w:rsidP="00562E69">
            <w:pPr>
              <w:pStyle w:val="ListParagraph"/>
              <w:tabs>
                <w:tab w:val="left" w:pos="851"/>
              </w:tabs>
              <w:ind w:left="0"/>
              <w:rPr>
                <w:rFonts w:cs="Calibri"/>
                <w:sz w:val="20"/>
                <w:szCs w:val="20"/>
              </w:rPr>
            </w:pPr>
            <w:r>
              <w:rPr>
                <w:rFonts w:cs="Calibri"/>
                <w:sz w:val="20"/>
                <w:szCs w:val="20"/>
              </w:rPr>
              <w:t xml:space="preserve">Not excluded if effective treatment begins before the next day at the education and care service. </w:t>
            </w:r>
          </w:p>
        </w:tc>
        <w:tc>
          <w:tcPr>
            <w:tcW w:w="3081" w:type="dxa"/>
          </w:tcPr>
          <w:p w:rsidR="00827E8E" w:rsidRDefault="00AD31C8"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D645D6" w:rsidP="00562E69">
            <w:pPr>
              <w:pStyle w:val="ListParagraph"/>
              <w:tabs>
                <w:tab w:val="left" w:pos="851"/>
              </w:tabs>
              <w:ind w:left="0"/>
              <w:rPr>
                <w:rFonts w:cs="Calibri"/>
                <w:sz w:val="20"/>
                <w:szCs w:val="20"/>
              </w:rPr>
            </w:pPr>
            <w:r>
              <w:rPr>
                <w:rFonts w:cs="Calibri"/>
                <w:sz w:val="20"/>
                <w:szCs w:val="20"/>
              </w:rPr>
              <w:t>Hepatitis A</w:t>
            </w:r>
          </w:p>
        </w:tc>
        <w:tc>
          <w:tcPr>
            <w:tcW w:w="3081" w:type="dxa"/>
          </w:tcPr>
          <w:p w:rsidR="00827E8E" w:rsidRDefault="00D645D6" w:rsidP="00562E69">
            <w:pPr>
              <w:pStyle w:val="ListParagraph"/>
              <w:tabs>
                <w:tab w:val="left" w:pos="851"/>
              </w:tabs>
              <w:ind w:left="0"/>
              <w:rPr>
                <w:rFonts w:cs="Calibri"/>
                <w:sz w:val="20"/>
                <w:szCs w:val="20"/>
              </w:rPr>
            </w:pPr>
            <w:r>
              <w:rPr>
                <w:rFonts w:cs="Calibri"/>
                <w:sz w:val="20"/>
                <w:szCs w:val="20"/>
              </w:rPr>
              <w:t xml:space="preserve">Exclude until a medical certificate of recovery is received and until at least 7 days after the onset of jaundice </w:t>
            </w:r>
          </w:p>
        </w:tc>
        <w:tc>
          <w:tcPr>
            <w:tcW w:w="3081" w:type="dxa"/>
          </w:tcPr>
          <w:p w:rsidR="00D645D6" w:rsidRDefault="00D645D6" w:rsidP="00D645D6">
            <w:pPr>
              <w:pStyle w:val="ListParagraph"/>
              <w:tabs>
                <w:tab w:val="left" w:pos="851"/>
              </w:tabs>
              <w:ind w:left="0"/>
              <w:rPr>
                <w:rFonts w:cs="Calibri"/>
                <w:sz w:val="20"/>
                <w:szCs w:val="20"/>
              </w:rPr>
            </w:pPr>
            <w:r>
              <w:rPr>
                <w:rFonts w:cs="Calibri"/>
                <w:sz w:val="20"/>
                <w:szCs w:val="20"/>
              </w:rPr>
              <w:t>Not excluded</w:t>
            </w:r>
          </w:p>
          <w:p w:rsidR="00827E8E" w:rsidRDefault="00D645D6" w:rsidP="00D645D6">
            <w:pPr>
              <w:pStyle w:val="ListParagraph"/>
              <w:tabs>
                <w:tab w:val="left" w:pos="851"/>
              </w:tabs>
              <w:ind w:left="0"/>
              <w:rPr>
                <w:rFonts w:cs="Calibri"/>
                <w:sz w:val="20"/>
                <w:szCs w:val="20"/>
              </w:rPr>
            </w:pPr>
            <w:r>
              <w:rPr>
                <w:rFonts w:cs="Calibri"/>
                <w:sz w:val="20"/>
                <w:szCs w:val="20"/>
              </w:rPr>
              <w:t>Contact a public health unit for specialist advice about vaccinating or treating children in the same room or group</w:t>
            </w:r>
          </w:p>
        </w:tc>
      </w:tr>
      <w:tr w:rsidR="00D645D6" w:rsidTr="00827E8E">
        <w:tc>
          <w:tcPr>
            <w:tcW w:w="3080" w:type="dxa"/>
          </w:tcPr>
          <w:p w:rsidR="00827E8E" w:rsidRDefault="00D645D6" w:rsidP="00562E69">
            <w:pPr>
              <w:pStyle w:val="ListParagraph"/>
              <w:tabs>
                <w:tab w:val="left" w:pos="851"/>
              </w:tabs>
              <w:ind w:left="0"/>
              <w:rPr>
                <w:rFonts w:cs="Calibri"/>
                <w:sz w:val="20"/>
                <w:szCs w:val="20"/>
              </w:rPr>
            </w:pPr>
            <w:r>
              <w:rPr>
                <w:rFonts w:cs="Calibri"/>
                <w:sz w:val="20"/>
                <w:szCs w:val="20"/>
              </w:rPr>
              <w:t>Hepatitis B</w:t>
            </w:r>
          </w:p>
        </w:tc>
        <w:tc>
          <w:tcPr>
            <w:tcW w:w="3081" w:type="dxa"/>
          </w:tcPr>
          <w:p w:rsidR="00827E8E" w:rsidRDefault="00D645D6" w:rsidP="00562E69">
            <w:pPr>
              <w:pStyle w:val="ListParagraph"/>
              <w:tabs>
                <w:tab w:val="left" w:pos="851"/>
              </w:tabs>
              <w:ind w:left="0"/>
              <w:rPr>
                <w:rFonts w:cs="Calibri"/>
                <w:sz w:val="20"/>
                <w:szCs w:val="20"/>
              </w:rPr>
            </w:pPr>
            <w:r>
              <w:rPr>
                <w:rFonts w:cs="Calibri"/>
                <w:sz w:val="20"/>
                <w:szCs w:val="20"/>
              </w:rPr>
              <w:t>Not excluded</w:t>
            </w:r>
          </w:p>
        </w:tc>
        <w:tc>
          <w:tcPr>
            <w:tcW w:w="3081" w:type="dxa"/>
          </w:tcPr>
          <w:p w:rsidR="00827E8E" w:rsidRDefault="00D645D6"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D645D6" w:rsidP="00562E69">
            <w:pPr>
              <w:pStyle w:val="ListParagraph"/>
              <w:tabs>
                <w:tab w:val="left" w:pos="851"/>
              </w:tabs>
              <w:ind w:left="0"/>
              <w:rPr>
                <w:rFonts w:cs="Calibri"/>
                <w:sz w:val="20"/>
                <w:szCs w:val="20"/>
              </w:rPr>
            </w:pPr>
            <w:r>
              <w:rPr>
                <w:rFonts w:cs="Calibri"/>
                <w:sz w:val="20"/>
                <w:szCs w:val="20"/>
              </w:rPr>
              <w:t>Hepatitis C</w:t>
            </w:r>
          </w:p>
        </w:tc>
        <w:tc>
          <w:tcPr>
            <w:tcW w:w="3081" w:type="dxa"/>
          </w:tcPr>
          <w:p w:rsidR="00827E8E" w:rsidRDefault="00D645D6" w:rsidP="00562E69">
            <w:pPr>
              <w:pStyle w:val="ListParagraph"/>
              <w:tabs>
                <w:tab w:val="left" w:pos="851"/>
              </w:tabs>
              <w:ind w:left="0"/>
              <w:rPr>
                <w:rFonts w:cs="Calibri"/>
                <w:sz w:val="20"/>
                <w:szCs w:val="20"/>
              </w:rPr>
            </w:pPr>
            <w:r>
              <w:rPr>
                <w:rFonts w:cs="Calibri"/>
                <w:sz w:val="20"/>
                <w:szCs w:val="20"/>
              </w:rPr>
              <w:t>Not excluded</w:t>
            </w:r>
          </w:p>
        </w:tc>
        <w:tc>
          <w:tcPr>
            <w:tcW w:w="3081" w:type="dxa"/>
          </w:tcPr>
          <w:p w:rsidR="00827E8E" w:rsidRDefault="00D645D6"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D645D6" w:rsidRDefault="00D645D6" w:rsidP="00562E69">
            <w:pPr>
              <w:pStyle w:val="ListParagraph"/>
              <w:tabs>
                <w:tab w:val="left" w:pos="851"/>
              </w:tabs>
              <w:ind w:left="0"/>
              <w:rPr>
                <w:rFonts w:cs="Calibri"/>
                <w:sz w:val="20"/>
                <w:szCs w:val="20"/>
              </w:rPr>
            </w:pPr>
          </w:p>
          <w:p w:rsidR="00D645D6" w:rsidRDefault="00D645D6" w:rsidP="00562E69">
            <w:pPr>
              <w:pStyle w:val="ListParagraph"/>
              <w:tabs>
                <w:tab w:val="left" w:pos="851"/>
              </w:tabs>
              <w:ind w:left="0"/>
              <w:rPr>
                <w:rFonts w:cs="Calibri"/>
                <w:sz w:val="20"/>
                <w:szCs w:val="20"/>
              </w:rPr>
            </w:pPr>
          </w:p>
          <w:p w:rsidR="00D645D6" w:rsidRDefault="00D645D6" w:rsidP="00562E69">
            <w:pPr>
              <w:pStyle w:val="ListParagraph"/>
              <w:tabs>
                <w:tab w:val="left" w:pos="851"/>
              </w:tabs>
              <w:ind w:left="0"/>
              <w:rPr>
                <w:rFonts w:cs="Calibri"/>
                <w:sz w:val="20"/>
                <w:szCs w:val="20"/>
              </w:rPr>
            </w:pPr>
          </w:p>
          <w:p w:rsidR="00D645D6" w:rsidRDefault="00D645D6" w:rsidP="00562E69">
            <w:pPr>
              <w:pStyle w:val="ListParagraph"/>
              <w:tabs>
                <w:tab w:val="left" w:pos="851"/>
              </w:tabs>
              <w:ind w:left="0"/>
              <w:rPr>
                <w:rFonts w:cs="Calibri"/>
                <w:sz w:val="20"/>
                <w:szCs w:val="20"/>
              </w:rPr>
            </w:pPr>
            <w:r>
              <w:rPr>
                <w:rFonts w:cs="Calibri"/>
                <w:sz w:val="20"/>
                <w:szCs w:val="20"/>
              </w:rPr>
              <w:t>Herpes simplex (cold sores, fever blisters</w:t>
            </w:r>
          </w:p>
        </w:tc>
        <w:tc>
          <w:tcPr>
            <w:tcW w:w="3081" w:type="dxa"/>
          </w:tcPr>
          <w:p w:rsidR="00D645D6" w:rsidRDefault="00D645D6" w:rsidP="00D645D6">
            <w:pPr>
              <w:pStyle w:val="ListParagraph"/>
              <w:tabs>
                <w:tab w:val="left" w:pos="851"/>
              </w:tabs>
              <w:ind w:left="0"/>
              <w:rPr>
                <w:rFonts w:cs="Calibri"/>
                <w:sz w:val="20"/>
                <w:szCs w:val="20"/>
              </w:rPr>
            </w:pPr>
          </w:p>
          <w:p w:rsidR="00D645D6" w:rsidRDefault="00D645D6" w:rsidP="00D645D6">
            <w:pPr>
              <w:pStyle w:val="ListParagraph"/>
              <w:tabs>
                <w:tab w:val="left" w:pos="851"/>
              </w:tabs>
              <w:ind w:left="0"/>
              <w:rPr>
                <w:rFonts w:cs="Calibri"/>
                <w:sz w:val="20"/>
                <w:szCs w:val="20"/>
              </w:rPr>
            </w:pPr>
          </w:p>
          <w:p w:rsidR="00D645D6" w:rsidRDefault="00D645D6" w:rsidP="00D645D6">
            <w:pPr>
              <w:pStyle w:val="ListParagraph"/>
              <w:tabs>
                <w:tab w:val="left" w:pos="851"/>
              </w:tabs>
              <w:ind w:left="0"/>
              <w:rPr>
                <w:rFonts w:cs="Calibri"/>
                <w:sz w:val="20"/>
                <w:szCs w:val="20"/>
              </w:rPr>
            </w:pPr>
          </w:p>
          <w:p w:rsidR="00D645D6" w:rsidRDefault="00D645D6" w:rsidP="00D645D6">
            <w:pPr>
              <w:pStyle w:val="ListParagraph"/>
              <w:tabs>
                <w:tab w:val="left" w:pos="851"/>
              </w:tabs>
              <w:ind w:left="0"/>
              <w:rPr>
                <w:rFonts w:cs="Calibri"/>
                <w:sz w:val="20"/>
                <w:szCs w:val="20"/>
              </w:rPr>
            </w:pPr>
            <w:r>
              <w:rPr>
                <w:rFonts w:cs="Calibri"/>
                <w:sz w:val="20"/>
                <w:szCs w:val="20"/>
              </w:rPr>
              <w:t>Not excluded if the person can maintain hygiene practices to  minimise the risk of transmission</w:t>
            </w:r>
          </w:p>
          <w:p w:rsidR="00D645D6" w:rsidRDefault="00D645D6" w:rsidP="00D645D6">
            <w:pPr>
              <w:pStyle w:val="ListParagraph"/>
              <w:tabs>
                <w:tab w:val="left" w:pos="851"/>
              </w:tabs>
              <w:ind w:left="0"/>
              <w:rPr>
                <w:rFonts w:cs="Calibri"/>
                <w:sz w:val="20"/>
                <w:szCs w:val="20"/>
              </w:rPr>
            </w:pPr>
            <w:r>
              <w:rPr>
                <w:rFonts w:cs="Calibri"/>
                <w:sz w:val="20"/>
                <w:szCs w:val="20"/>
              </w:rPr>
              <w:t>If the person cannot comply with these practices (e.g. because they are too young), they should be excluded until sores are dry</w:t>
            </w:r>
          </w:p>
          <w:p w:rsidR="00D645D6" w:rsidRDefault="00D645D6" w:rsidP="00D645D6">
            <w:pPr>
              <w:pStyle w:val="ListParagraph"/>
              <w:tabs>
                <w:tab w:val="left" w:pos="851"/>
              </w:tabs>
              <w:ind w:left="0"/>
              <w:rPr>
                <w:rFonts w:cs="Calibri"/>
                <w:sz w:val="20"/>
                <w:szCs w:val="20"/>
              </w:rPr>
            </w:pPr>
            <w:r>
              <w:rPr>
                <w:rFonts w:cs="Calibri"/>
                <w:sz w:val="20"/>
                <w:szCs w:val="20"/>
              </w:rPr>
              <w:t xml:space="preserve">Sores should be covered with a dressing, where possible </w:t>
            </w:r>
          </w:p>
          <w:p w:rsidR="00D645D6" w:rsidRDefault="00D645D6" w:rsidP="00562E69">
            <w:pPr>
              <w:pStyle w:val="ListParagraph"/>
              <w:tabs>
                <w:tab w:val="left" w:pos="851"/>
              </w:tabs>
              <w:ind w:left="0"/>
              <w:rPr>
                <w:rFonts w:cs="Calibri"/>
                <w:sz w:val="20"/>
                <w:szCs w:val="20"/>
              </w:rPr>
            </w:pPr>
          </w:p>
        </w:tc>
        <w:tc>
          <w:tcPr>
            <w:tcW w:w="3081" w:type="dxa"/>
          </w:tcPr>
          <w:p w:rsidR="00827E8E" w:rsidRDefault="00827E8E" w:rsidP="00562E69">
            <w:pPr>
              <w:pStyle w:val="ListParagraph"/>
              <w:tabs>
                <w:tab w:val="left" w:pos="851"/>
              </w:tabs>
              <w:ind w:left="0"/>
              <w:rPr>
                <w:rFonts w:cs="Calibri"/>
                <w:sz w:val="20"/>
                <w:szCs w:val="20"/>
              </w:rPr>
            </w:pPr>
          </w:p>
          <w:p w:rsidR="00D645D6" w:rsidRDefault="00D645D6" w:rsidP="00562E69">
            <w:pPr>
              <w:pStyle w:val="ListParagraph"/>
              <w:tabs>
                <w:tab w:val="left" w:pos="851"/>
              </w:tabs>
              <w:ind w:left="0"/>
              <w:rPr>
                <w:rFonts w:cs="Calibri"/>
                <w:sz w:val="20"/>
                <w:szCs w:val="20"/>
              </w:rPr>
            </w:pPr>
          </w:p>
          <w:p w:rsidR="00D645D6" w:rsidRDefault="00D645D6" w:rsidP="00562E69">
            <w:pPr>
              <w:pStyle w:val="ListParagraph"/>
              <w:tabs>
                <w:tab w:val="left" w:pos="851"/>
              </w:tabs>
              <w:ind w:left="0"/>
              <w:rPr>
                <w:rFonts w:cs="Calibri"/>
                <w:sz w:val="20"/>
                <w:szCs w:val="20"/>
              </w:rPr>
            </w:pPr>
          </w:p>
          <w:p w:rsidR="00D645D6" w:rsidRDefault="00D645D6"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D645D6" w:rsidP="00562E69">
            <w:pPr>
              <w:pStyle w:val="ListParagraph"/>
              <w:tabs>
                <w:tab w:val="left" w:pos="851"/>
              </w:tabs>
              <w:ind w:left="0"/>
              <w:rPr>
                <w:rFonts w:cs="Calibri"/>
                <w:sz w:val="20"/>
                <w:szCs w:val="20"/>
              </w:rPr>
            </w:pPr>
            <w:r>
              <w:rPr>
                <w:rFonts w:cs="Calibri"/>
                <w:sz w:val="20"/>
                <w:szCs w:val="20"/>
              </w:rPr>
              <w:t>Human immunodeficiency virus (HIV)</w:t>
            </w:r>
          </w:p>
        </w:tc>
        <w:tc>
          <w:tcPr>
            <w:tcW w:w="3081" w:type="dxa"/>
          </w:tcPr>
          <w:p w:rsidR="00827E8E" w:rsidRDefault="00D645D6" w:rsidP="00562E69">
            <w:pPr>
              <w:pStyle w:val="ListParagraph"/>
              <w:tabs>
                <w:tab w:val="left" w:pos="851"/>
              </w:tabs>
              <w:ind w:left="0"/>
              <w:rPr>
                <w:rFonts w:cs="Calibri"/>
                <w:sz w:val="20"/>
                <w:szCs w:val="20"/>
              </w:rPr>
            </w:pPr>
            <w:r>
              <w:rPr>
                <w:rFonts w:cs="Calibri"/>
                <w:sz w:val="20"/>
                <w:szCs w:val="20"/>
              </w:rPr>
              <w:t>Not excluded</w:t>
            </w:r>
          </w:p>
          <w:p w:rsidR="00D645D6" w:rsidRDefault="00D645D6" w:rsidP="00562E69">
            <w:pPr>
              <w:pStyle w:val="ListParagraph"/>
              <w:tabs>
                <w:tab w:val="left" w:pos="851"/>
              </w:tabs>
              <w:ind w:left="0"/>
              <w:rPr>
                <w:rFonts w:cs="Calibri"/>
                <w:sz w:val="20"/>
                <w:szCs w:val="20"/>
              </w:rPr>
            </w:pPr>
            <w:r>
              <w:rPr>
                <w:rFonts w:cs="Calibri"/>
                <w:sz w:val="20"/>
                <w:szCs w:val="20"/>
              </w:rPr>
              <w:t xml:space="preserve">If the person is severely immune compromised, they will be vulnerable to other people's illnesses </w:t>
            </w:r>
          </w:p>
        </w:tc>
        <w:tc>
          <w:tcPr>
            <w:tcW w:w="3081" w:type="dxa"/>
          </w:tcPr>
          <w:p w:rsidR="00827E8E" w:rsidRDefault="00D645D6"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D645D6" w:rsidP="00562E69">
            <w:pPr>
              <w:pStyle w:val="ListParagraph"/>
              <w:tabs>
                <w:tab w:val="left" w:pos="851"/>
              </w:tabs>
              <w:ind w:left="0"/>
              <w:rPr>
                <w:rFonts w:cs="Calibri"/>
                <w:sz w:val="20"/>
                <w:szCs w:val="20"/>
              </w:rPr>
            </w:pPr>
            <w:r>
              <w:rPr>
                <w:rFonts w:cs="Calibri"/>
                <w:sz w:val="20"/>
                <w:szCs w:val="20"/>
              </w:rPr>
              <w:t xml:space="preserve">Human parvovirus B19 (fifth disease, erythema </w:t>
            </w:r>
            <w:proofErr w:type="spellStart"/>
            <w:r>
              <w:rPr>
                <w:rFonts w:cs="Calibri"/>
                <w:sz w:val="20"/>
                <w:szCs w:val="20"/>
              </w:rPr>
              <w:t>infectiosum</w:t>
            </w:r>
            <w:proofErr w:type="spellEnd"/>
            <w:r>
              <w:rPr>
                <w:rFonts w:cs="Calibri"/>
                <w:sz w:val="20"/>
                <w:szCs w:val="20"/>
              </w:rPr>
              <w:t xml:space="preserve">, </w:t>
            </w:r>
            <w:r w:rsidR="00BE5EDD">
              <w:rPr>
                <w:rFonts w:cs="Calibri"/>
                <w:sz w:val="20"/>
                <w:szCs w:val="20"/>
              </w:rPr>
              <w:t>(</w:t>
            </w:r>
            <w:r>
              <w:rPr>
                <w:rFonts w:cs="Calibri"/>
                <w:sz w:val="20"/>
                <w:szCs w:val="20"/>
              </w:rPr>
              <w:t>slapped cheek syndrome)</w:t>
            </w:r>
          </w:p>
        </w:tc>
        <w:tc>
          <w:tcPr>
            <w:tcW w:w="3081" w:type="dxa"/>
          </w:tcPr>
          <w:p w:rsidR="00827E8E" w:rsidRDefault="00D645D6" w:rsidP="00562E69">
            <w:pPr>
              <w:pStyle w:val="ListParagraph"/>
              <w:tabs>
                <w:tab w:val="left" w:pos="851"/>
              </w:tabs>
              <w:ind w:left="0"/>
              <w:rPr>
                <w:rFonts w:cs="Calibri"/>
                <w:sz w:val="20"/>
                <w:szCs w:val="20"/>
              </w:rPr>
            </w:pPr>
            <w:r>
              <w:rPr>
                <w:rFonts w:cs="Calibri"/>
                <w:sz w:val="20"/>
                <w:szCs w:val="20"/>
              </w:rPr>
              <w:t>Not excluded</w:t>
            </w:r>
          </w:p>
        </w:tc>
        <w:tc>
          <w:tcPr>
            <w:tcW w:w="3081" w:type="dxa"/>
          </w:tcPr>
          <w:p w:rsidR="00827E8E" w:rsidRDefault="00D645D6"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D645D6" w:rsidP="00562E69">
            <w:pPr>
              <w:pStyle w:val="ListParagraph"/>
              <w:tabs>
                <w:tab w:val="left" w:pos="851"/>
              </w:tabs>
              <w:ind w:left="0"/>
              <w:rPr>
                <w:rFonts w:cs="Calibri"/>
                <w:sz w:val="20"/>
                <w:szCs w:val="20"/>
              </w:rPr>
            </w:pPr>
            <w:r>
              <w:rPr>
                <w:rFonts w:cs="Calibri"/>
                <w:sz w:val="20"/>
                <w:szCs w:val="20"/>
              </w:rPr>
              <w:t>Hydatid Disease</w:t>
            </w:r>
          </w:p>
        </w:tc>
        <w:tc>
          <w:tcPr>
            <w:tcW w:w="3081" w:type="dxa"/>
          </w:tcPr>
          <w:p w:rsidR="00827E8E" w:rsidRDefault="00D645D6" w:rsidP="00562E69">
            <w:pPr>
              <w:pStyle w:val="ListParagraph"/>
              <w:tabs>
                <w:tab w:val="left" w:pos="851"/>
              </w:tabs>
              <w:ind w:left="0"/>
              <w:rPr>
                <w:rFonts w:cs="Calibri"/>
                <w:sz w:val="20"/>
                <w:szCs w:val="20"/>
              </w:rPr>
            </w:pPr>
            <w:r>
              <w:rPr>
                <w:rFonts w:cs="Calibri"/>
                <w:sz w:val="20"/>
                <w:szCs w:val="20"/>
              </w:rPr>
              <w:t>Not excluded</w:t>
            </w:r>
          </w:p>
        </w:tc>
        <w:tc>
          <w:tcPr>
            <w:tcW w:w="3081" w:type="dxa"/>
          </w:tcPr>
          <w:p w:rsidR="00827E8E" w:rsidRDefault="00D645D6"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D645D6" w:rsidP="00562E69">
            <w:pPr>
              <w:pStyle w:val="ListParagraph"/>
              <w:tabs>
                <w:tab w:val="left" w:pos="851"/>
              </w:tabs>
              <w:ind w:left="0"/>
              <w:rPr>
                <w:rFonts w:cs="Calibri"/>
                <w:sz w:val="20"/>
                <w:szCs w:val="20"/>
              </w:rPr>
            </w:pPr>
            <w:r>
              <w:rPr>
                <w:rFonts w:cs="Calibri"/>
                <w:sz w:val="20"/>
                <w:szCs w:val="20"/>
              </w:rPr>
              <w:t>Impetigo</w:t>
            </w:r>
          </w:p>
        </w:tc>
        <w:tc>
          <w:tcPr>
            <w:tcW w:w="3081" w:type="dxa"/>
          </w:tcPr>
          <w:p w:rsidR="00827E8E" w:rsidRDefault="00D645D6" w:rsidP="00562E69">
            <w:pPr>
              <w:pStyle w:val="ListParagraph"/>
              <w:tabs>
                <w:tab w:val="left" w:pos="851"/>
              </w:tabs>
              <w:ind w:left="0"/>
              <w:rPr>
                <w:rFonts w:cs="Calibri"/>
                <w:sz w:val="20"/>
                <w:szCs w:val="20"/>
              </w:rPr>
            </w:pPr>
            <w:r>
              <w:rPr>
                <w:rFonts w:cs="Calibri"/>
                <w:sz w:val="20"/>
                <w:szCs w:val="20"/>
              </w:rPr>
              <w:t xml:space="preserve">Exclude until appropriate antibiotic treatment has started </w:t>
            </w:r>
          </w:p>
          <w:p w:rsidR="00D645D6" w:rsidRDefault="00D645D6" w:rsidP="00562E69">
            <w:pPr>
              <w:pStyle w:val="ListParagraph"/>
              <w:tabs>
                <w:tab w:val="left" w:pos="851"/>
              </w:tabs>
              <w:ind w:left="0"/>
              <w:rPr>
                <w:rFonts w:cs="Calibri"/>
                <w:sz w:val="20"/>
                <w:szCs w:val="20"/>
              </w:rPr>
            </w:pPr>
            <w:r>
              <w:rPr>
                <w:rFonts w:cs="Calibri"/>
                <w:sz w:val="20"/>
                <w:szCs w:val="20"/>
              </w:rPr>
              <w:t>Any sores on exposed skin should be covered with watertight dressing</w:t>
            </w:r>
          </w:p>
        </w:tc>
        <w:tc>
          <w:tcPr>
            <w:tcW w:w="3081" w:type="dxa"/>
          </w:tcPr>
          <w:p w:rsidR="00827E8E" w:rsidRDefault="00D645D6"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D645D6" w:rsidP="00562E69">
            <w:pPr>
              <w:pStyle w:val="ListParagraph"/>
              <w:tabs>
                <w:tab w:val="left" w:pos="851"/>
              </w:tabs>
              <w:ind w:left="0"/>
              <w:rPr>
                <w:rFonts w:cs="Calibri"/>
                <w:sz w:val="20"/>
                <w:szCs w:val="20"/>
              </w:rPr>
            </w:pPr>
            <w:r>
              <w:rPr>
                <w:rFonts w:cs="Calibri"/>
                <w:sz w:val="20"/>
                <w:szCs w:val="20"/>
              </w:rPr>
              <w:t>Influenza and influenza</w:t>
            </w:r>
            <w:r w:rsidR="009F53F7">
              <w:rPr>
                <w:rFonts w:cs="Calibri"/>
                <w:sz w:val="20"/>
                <w:szCs w:val="20"/>
              </w:rPr>
              <w:t>-like illnesses</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Exclude until person is well</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9F53F7" w:rsidP="00562E69">
            <w:pPr>
              <w:pStyle w:val="ListParagraph"/>
              <w:tabs>
                <w:tab w:val="left" w:pos="851"/>
              </w:tabs>
              <w:ind w:left="0"/>
              <w:rPr>
                <w:rFonts w:cs="Calibri"/>
                <w:sz w:val="20"/>
                <w:szCs w:val="20"/>
              </w:rPr>
            </w:pPr>
            <w:proofErr w:type="spellStart"/>
            <w:r>
              <w:rPr>
                <w:rFonts w:cs="Calibri"/>
                <w:sz w:val="20"/>
                <w:szCs w:val="20"/>
              </w:rPr>
              <w:t>Listeriosis</w:t>
            </w:r>
            <w:proofErr w:type="spellEnd"/>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Not excluded</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9F53F7" w:rsidP="00562E69">
            <w:pPr>
              <w:pStyle w:val="ListParagraph"/>
              <w:tabs>
                <w:tab w:val="left" w:pos="851"/>
              </w:tabs>
              <w:ind w:left="0"/>
              <w:rPr>
                <w:rFonts w:cs="Calibri"/>
                <w:sz w:val="20"/>
                <w:szCs w:val="20"/>
              </w:rPr>
            </w:pPr>
            <w:r>
              <w:rPr>
                <w:rFonts w:cs="Calibri"/>
                <w:sz w:val="20"/>
                <w:szCs w:val="20"/>
              </w:rPr>
              <w:t>Measles</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Exclude for 4 days after the onset of the rash</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Immunised and immune contacts care not excluded</w:t>
            </w:r>
          </w:p>
          <w:p w:rsidR="009F53F7" w:rsidRDefault="009F53F7" w:rsidP="00562E69">
            <w:pPr>
              <w:pStyle w:val="ListParagraph"/>
              <w:tabs>
                <w:tab w:val="left" w:pos="851"/>
              </w:tabs>
              <w:ind w:left="0"/>
              <w:rPr>
                <w:rFonts w:cs="Calibri"/>
                <w:sz w:val="20"/>
                <w:szCs w:val="20"/>
              </w:rPr>
            </w:pPr>
            <w:r>
              <w:rPr>
                <w:rFonts w:cs="Calibri"/>
                <w:sz w:val="20"/>
                <w:szCs w:val="20"/>
              </w:rPr>
              <w:t>For non-immunised contacts, contact a public health unit for specialist advice</w:t>
            </w:r>
          </w:p>
          <w:p w:rsidR="009F53F7" w:rsidRDefault="009F53F7" w:rsidP="00562E69">
            <w:pPr>
              <w:pStyle w:val="ListParagraph"/>
              <w:tabs>
                <w:tab w:val="left" w:pos="851"/>
              </w:tabs>
              <w:ind w:left="0"/>
              <w:rPr>
                <w:rFonts w:cs="Calibri"/>
                <w:sz w:val="20"/>
                <w:szCs w:val="20"/>
              </w:rPr>
            </w:pPr>
            <w:r>
              <w:rPr>
                <w:rFonts w:cs="Calibri"/>
                <w:sz w:val="20"/>
                <w:szCs w:val="20"/>
              </w:rPr>
              <w:t>All immunocompromised children should be excluded until 14 days after the appearance of the rash in the last case</w:t>
            </w:r>
          </w:p>
        </w:tc>
      </w:tr>
      <w:tr w:rsidR="00D645D6" w:rsidTr="00827E8E">
        <w:tc>
          <w:tcPr>
            <w:tcW w:w="3080" w:type="dxa"/>
          </w:tcPr>
          <w:p w:rsidR="00827E8E" w:rsidRDefault="009F53F7" w:rsidP="00562E69">
            <w:pPr>
              <w:pStyle w:val="ListParagraph"/>
              <w:tabs>
                <w:tab w:val="left" w:pos="851"/>
              </w:tabs>
              <w:ind w:left="0"/>
              <w:rPr>
                <w:rFonts w:cs="Calibri"/>
                <w:sz w:val="20"/>
                <w:szCs w:val="20"/>
              </w:rPr>
            </w:pPr>
            <w:r>
              <w:rPr>
                <w:rFonts w:cs="Calibri"/>
                <w:sz w:val="20"/>
                <w:szCs w:val="20"/>
              </w:rPr>
              <w:t>Meningitis (Viral)</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Exclude until person is well</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9F53F7" w:rsidP="00562E69">
            <w:pPr>
              <w:pStyle w:val="ListParagraph"/>
              <w:tabs>
                <w:tab w:val="left" w:pos="851"/>
              </w:tabs>
              <w:ind w:left="0"/>
              <w:rPr>
                <w:rFonts w:cs="Calibri"/>
                <w:sz w:val="20"/>
                <w:szCs w:val="20"/>
              </w:rPr>
            </w:pPr>
            <w:r>
              <w:rPr>
                <w:rFonts w:cs="Calibri"/>
                <w:sz w:val="20"/>
                <w:szCs w:val="20"/>
              </w:rPr>
              <w:t>Meningococcal infection</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 xml:space="preserve">Exclude until appropriate </w:t>
            </w:r>
            <w:r>
              <w:rPr>
                <w:rFonts w:cs="Calibri"/>
                <w:sz w:val="20"/>
                <w:szCs w:val="20"/>
              </w:rPr>
              <w:lastRenderedPageBreak/>
              <w:t>antibiotic treatment has been completed</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lastRenderedPageBreak/>
              <w:t>Not excluded</w:t>
            </w:r>
          </w:p>
          <w:p w:rsidR="009F53F7" w:rsidRDefault="009F53F7" w:rsidP="00562E69">
            <w:pPr>
              <w:pStyle w:val="ListParagraph"/>
              <w:tabs>
                <w:tab w:val="left" w:pos="851"/>
              </w:tabs>
              <w:ind w:left="0"/>
              <w:rPr>
                <w:rFonts w:cs="Calibri"/>
                <w:sz w:val="20"/>
                <w:szCs w:val="20"/>
              </w:rPr>
            </w:pPr>
            <w:r>
              <w:rPr>
                <w:rFonts w:cs="Calibri"/>
                <w:sz w:val="20"/>
                <w:szCs w:val="20"/>
              </w:rPr>
              <w:lastRenderedPageBreak/>
              <w:t>Contact a public health unit for specialist advice about antibiotics and/or vaccination for people who were in the same room as the case</w:t>
            </w:r>
          </w:p>
        </w:tc>
      </w:tr>
      <w:tr w:rsidR="00D645D6" w:rsidTr="00827E8E">
        <w:tc>
          <w:tcPr>
            <w:tcW w:w="3080" w:type="dxa"/>
          </w:tcPr>
          <w:p w:rsidR="00827E8E" w:rsidRDefault="009F53F7" w:rsidP="00562E69">
            <w:pPr>
              <w:pStyle w:val="ListParagraph"/>
              <w:tabs>
                <w:tab w:val="left" w:pos="851"/>
              </w:tabs>
              <w:ind w:left="0"/>
              <w:rPr>
                <w:rFonts w:cs="Calibri"/>
                <w:sz w:val="20"/>
                <w:szCs w:val="20"/>
              </w:rPr>
            </w:pPr>
            <w:proofErr w:type="spellStart"/>
            <w:r>
              <w:rPr>
                <w:rFonts w:cs="Calibri"/>
                <w:sz w:val="20"/>
                <w:szCs w:val="20"/>
              </w:rPr>
              <w:lastRenderedPageBreak/>
              <w:t>Molluscum</w:t>
            </w:r>
            <w:proofErr w:type="spellEnd"/>
            <w:r>
              <w:rPr>
                <w:rFonts w:cs="Calibri"/>
                <w:sz w:val="20"/>
                <w:szCs w:val="20"/>
              </w:rPr>
              <w:t xml:space="preserve"> </w:t>
            </w:r>
            <w:proofErr w:type="spellStart"/>
            <w:r>
              <w:rPr>
                <w:rFonts w:cs="Calibri"/>
                <w:sz w:val="20"/>
                <w:szCs w:val="20"/>
              </w:rPr>
              <w:t>contagiosum</w:t>
            </w:r>
            <w:proofErr w:type="spellEnd"/>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Not excluded</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9F53F7" w:rsidP="00562E69">
            <w:pPr>
              <w:pStyle w:val="ListParagraph"/>
              <w:tabs>
                <w:tab w:val="left" w:pos="851"/>
              </w:tabs>
              <w:ind w:left="0"/>
              <w:rPr>
                <w:rFonts w:cs="Calibri"/>
                <w:sz w:val="20"/>
                <w:szCs w:val="20"/>
              </w:rPr>
            </w:pPr>
            <w:r>
              <w:rPr>
                <w:rFonts w:cs="Calibri"/>
                <w:sz w:val="20"/>
                <w:szCs w:val="20"/>
              </w:rPr>
              <w:t>Mumps</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Exclude for 9 days or until swelling goes down (whichever sooner)</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9F53F7" w:rsidP="00562E69">
            <w:pPr>
              <w:pStyle w:val="ListParagraph"/>
              <w:tabs>
                <w:tab w:val="left" w:pos="851"/>
              </w:tabs>
              <w:ind w:left="0"/>
              <w:rPr>
                <w:rFonts w:cs="Calibri"/>
                <w:sz w:val="20"/>
                <w:szCs w:val="20"/>
              </w:rPr>
            </w:pPr>
            <w:r>
              <w:rPr>
                <w:rFonts w:cs="Calibri"/>
                <w:sz w:val="20"/>
                <w:szCs w:val="20"/>
              </w:rPr>
              <w:t>Norovirus</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Exclude until there has not been a loose bowel motion or vomiting for 48 hours</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9F53F7" w:rsidP="00562E69">
            <w:pPr>
              <w:pStyle w:val="ListParagraph"/>
              <w:tabs>
                <w:tab w:val="left" w:pos="851"/>
              </w:tabs>
              <w:ind w:left="0"/>
              <w:rPr>
                <w:rFonts w:cs="Calibri"/>
                <w:sz w:val="20"/>
                <w:szCs w:val="20"/>
              </w:rPr>
            </w:pPr>
            <w:r>
              <w:rPr>
                <w:rFonts w:cs="Calibri"/>
                <w:sz w:val="20"/>
                <w:szCs w:val="20"/>
              </w:rPr>
              <w:t>Pertussis (whooping cough)</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Exclude until 5 days after starting appropriate treatment, or for 21 days from the onset of coughing</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 xml:space="preserve">Contact a public health unit for specialist advice about excluding </w:t>
            </w:r>
            <w:r w:rsidR="00BE5EDD">
              <w:rPr>
                <w:rFonts w:cs="Calibri"/>
                <w:sz w:val="20"/>
                <w:szCs w:val="20"/>
              </w:rPr>
              <w:t>non-vaccinated contacts, or anti</w:t>
            </w:r>
            <w:r>
              <w:rPr>
                <w:rFonts w:cs="Calibri"/>
                <w:sz w:val="20"/>
                <w:szCs w:val="20"/>
              </w:rPr>
              <w:t xml:space="preserve">biotics </w:t>
            </w:r>
          </w:p>
        </w:tc>
      </w:tr>
      <w:tr w:rsidR="00D645D6" w:rsidTr="00827E8E">
        <w:tc>
          <w:tcPr>
            <w:tcW w:w="3080" w:type="dxa"/>
          </w:tcPr>
          <w:p w:rsidR="00827E8E" w:rsidRDefault="009F53F7" w:rsidP="00562E69">
            <w:pPr>
              <w:pStyle w:val="ListParagraph"/>
              <w:tabs>
                <w:tab w:val="left" w:pos="851"/>
              </w:tabs>
              <w:ind w:left="0"/>
              <w:rPr>
                <w:rFonts w:cs="Calibri"/>
                <w:sz w:val="20"/>
                <w:szCs w:val="20"/>
              </w:rPr>
            </w:pPr>
            <w:r>
              <w:rPr>
                <w:rFonts w:cs="Calibri"/>
                <w:sz w:val="20"/>
                <w:szCs w:val="20"/>
              </w:rPr>
              <w:t>Pneumococcal disease</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Exclude until person is well</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9F53F7" w:rsidP="00562E69">
            <w:pPr>
              <w:pStyle w:val="ListParagraph"/>
              <w:tabs>
                <w:tab w:val="left" w:pos="851"/>
              </w:tabs>
              <w:ind w:left="0"/>
              <w:rPr>
                <w:rFonts w:cs="Calibri"/>
                <w:sz w:val="20"/>
                <w:szCs w:val="20"/>
              </w:rPr>
            </w:pPr>
            <w:r>
              <w:rPr>
                <w:rFonts w:cs="Calibri"/>
                <w:sz w:val="20"/>
                <w:szCs w:val="20"/>
              </w:rPr>
              <w:t>Roseola</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Not excluded</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9F53F7" w:rsidP="00562E69">
            <w:pPr>
              <w:pStyle w:val="ListParagraph"/>
              <w:tabs>
                <w:tab w:val="left" w:pos="851"/>
              </w:tabs>
              <w:ind w:left="0"/>
              <w:rPr>
                <w:rFonts w:cs="Calibri"/>
                <w:sz w:val="20"/>
                <w:szCs w:val="20"/>
              </w:rPr>
            </w:pPr>
            <w:r>
              <w:rPr>
                <w:rFonts w:cs="Calibri"/>
                <w:sz w:val="20"/>
                <w:szCs w:val="20"/>
              </w:rPr>
              <w:t>Ross River virus</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Not excluded</w:t>
            </w:r>
          </w:p>
        </w:tc>
        <w:tc>
          <w:tcPr>
            <w:tcW w:w="3081" w:type="dxa"/>
          </w:tcPr>
          <w:p w:rsidR="00827E8E" w:rsidRDefault="009F53F7"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9F53F7" w:rsidP="00562E69">
            <w:pPr>
              <w:pStyle w:val="ListParagraph"/>
              <w:tabs>
                <w:tab w:val="left" w:pos="851"/>
              </w:tabs>
              <w:ind w:left="0"/>
              <w:rPr>
                <w:rFonts w:cs="Calibri"/>
                <w:sz w:val="20"/>
                <w:szCs w:val="20"/>
              </w:rPr>
            </w:pPr>
            <w:r>
              <w:rPr>
                <w:rFonts w:cs="Calibri"/>
                <w:sz w:val="20"/>
                <w:szCs w:val="20"/>
              </w:rPr>
              <w:t>Rotavirus infection</w:t>
            </w:r>
          </w:p>
        </w:tc>
        <w:tc>
          <w:tcPr>
            <w:tcW w:w="3081" w:type="dxa"/>
          </w:tcPr>
          <w:p w:rsidR="00827E8E" w:rsidRPr="00804C19" w:rsidRDefault="009F53F7" w:rsidP="00562E69">
            <w:pPr>
              <w:pStyle w:val="ListParagraph"/>
              <w:tabs>
                <w:tab w:val="left" w:pos="851"/>
              </w:tabs>
              <w:ind w:left="0"/>
              <w:rPr>
                <w:rFonts w:cs="Calibri"/>
                <w:sz w:val="16"/>
                <w:szCs w:val="16"/>
              </w:rPr>
            </w:pPr>
            <w:r>
              <w:rPr>
                <w:rFonts w:cs="Calibri"/>
                <w:sz w:val="20"/>
                <w:szCs w:val="20"/>
              </w:rPr>
              <w:t xml:space="preserve">Exclude until there has </w:t>
            </w:r>
            <w:r w:rsidR="00322533">
              <w:rPr>
                <w:rFonts w:cs="Calibri"/>
                <w:sz w:val="20"/>
                <w:szCs w:val="20"/>
              </w:rPr>
              <w:t>not been a loose bowel motion or vomiting for 24 hours</w:t>
            </w:r>
            <w:r w:rsidR="00804C19">
              <w:rPr>
                <w:rFonts w:cs="Calibri"/>
                <w:sz w:val="20"/>
                <w:szCs w:val="20"/>
              </w:rPr>
              <w:t xml:space="preserve"> </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322533" w:rsidP="00562E69">
            <w:pPr>
              <w:pStyle w:val="ListParagraph"/>
              <w:tabs>
                <w:tab w:val="left" w:pos="851"/>
              </w:tabs>
              <w:ind w:left="0"/>
              <w:rPr>
                <w:rFonts w:cs="Calibri"/>
                <w:sz w:val="20"/>
                <w:szCs w:val="20"/>
              </w:rPr>
            </w:pPr>
            <w:r>
              <w:rPr>
                <w:rFonts w:cs="Calibri"/>
                <w:sz w:val="20"/>
                <w:szCs w:val="20"/>
              </w:rPr>
              <w:t>Rubella (German Measles)</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Exclude until the person has fully recovered or for at least 4 days after the onset of the rash</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322533" w:rsidP="00562E69">
            <w:pPr>
              <w:pStyle w:val="ListParagraph"/>
              <w:tabs>
                <w:tab w:val="left" w:pos="851"/>
              </w:tabs>
              <w:ind w:left="0"/>
              <w:rPr>
                <w:rFonts w:cs="Calibri"/>
                <w:sz w:val="20"/>
                <w:szCs w:val="20"/>
              </w:rPr>
            </w:pPr>
            <w:r>
              <w:rPr>
                <w:rFonts w:cs="Calibri"/>
                <w:sz w:val="20"/>
                <w:szCs w:val="20"/>
              </w:rPr>
              <w:t>Salmonellosis</w:t>
            </w:r>
          </w:p>
        </w:tc>
        <w:tc>
          <w:tcPr>
            <w:tcW w:w="3081" w:type="dxa"/>
          </w:tcPr>
          <w:p w:rsidR="00827E8E" w:rsidRPr="00804C19" w:rsidRDefault="00322533" w:rsidP="00562E69">
            <w:pPr>
              <w:pStyle w:val="ListParagraph"/>
              <w:tabs>
                <w:tab w:val="left" w:pos="851"/>
              </w:tabs>
              <w:ind w:left="0"/>
              <w:rPr>
                <w:rFonts w:cs="Calibri"/>
                <w:sz w:val="16"/>
                <w:szCs w:val="16"/>
              </w:rPr>
            </w:pPr>
            <w:r>
              <w:rPr>
                <w:rFonts w:cs="Calibri"/>
                <w:sz w:val="20"/>
                <w:szCs w:val="20"/>
              </w:rPr>
              <w:t>Exclude until there has not been a loose bowel motion for 24 hrs</w:t>
            </w:r>
            <w:r w:rsidR="00804C19">
              <w:rPr>
                <w:rFonts w:cs="Calibri"/>
                <w:sz w:val="20"/>
                <w:szCs w:val="20"/>
              </w:rPr>
              <w:t xml:space="preserve"> </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322533" w:rsidP="00562E69">
            <w:pPr>
              <w:pStyle w:val="ListParagraph"/>
              <w:tabs>
                <w:tab w:val="left" w:pos="851"/>
              </w:tabs>
              <w:ind w:left="0"/>
              <w:rPr>
                <w:rFonts w:cs="Calibri"/>
                <w:sz w:val="20"/>
                <w:szCs w:val="20"/>
              </w:rPr>
            </w:pPr>
            <w:r>
              <w:rPr>
                <w:rFonts w:cs="Calibri"/>
                <w:sz w:val="20"/>
                <w:szCs w:val="20"/>
              </w:rPr>
              <w:t>Scabies</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Exclude until the day after starting appropriate treatment</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322533" w:rsidP="00562E69">
            <w:pPr>
              <w:pStyle w:val="ListParagraph"/>
              <w:tabs>
                <w:tab w:val="left" w:pos="851"/>
              </w:tabs>
              <w:ind w:left="0"/>
              <w:rPr>
                <w:rFonts w:cs="Calibri"/>
                <w:sz w:val="20"/>
                <w:szCs w:val="20"/>
              </w:rPr>
            </w:pPr>
            <w:r>
              <w:rPr>
                <w:rFonts w:cs="Calibri"/>
                <w:sz w:val="20"/>
                <w:szCs w:val="20"/>
              </w:rPr>
              <w:t>Shigellosis</w:t>
            </w:r>
          </w:p>
        </w:tc>
        <w:tc>
          <w:tcPr>
            <w:tcW w:w="3081" w:type="dxa"/>
          </w:tcPr>
          <w:p w:rsidR="00827E8E" w:rsidRPr="00804C19" w:rsidRDefault="00322533" w:rsidP="00562E69">
            <w:pPr>
              <w:pStyle w:val="ListParagraph"/>
              <w:tabs>
                <w:tab w:val="left" w:pos="851"/>
              </w:tabs>
              <w:ind w:left="0"/>
              <w:rPr>
                <w:rFonts w:cs="Calibri"/>
                <w:sz w:val="16"/>
                <w:szCs w:val="16"/>
              </w:rPr>
            </w:pPr>
            <w:r>
              <w:rPr>
                <w:rFonts w:cs="Calibri"/>
                <w:sz w:val="20"/>
                <w:szCs w:val="20"/>
              </w:rPr>
              <w:t>Exclude until there has not been a loose bowel motion for 24 hrs</w:t>
            </w:r>
            <w:r w:rsidR="00804C19">
              <w:rPr>
                <w:rFonts w:cs="Calibri"/>
                <w:sz w:val="20"/>
                <w:szCs w:val="20"/>
              </w:rPr>
              <w:t xml:space="preserve"> </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322533" w:rsidP="00562E69">
            <w:pPr>
              <w:pStyle w:val="ListParagraph"/>
              <w:tabs>
                <w:tab w:val="left" w:pos="851"/>
              </w:tabs>
              <w:ind w:left="0"/>
              <w:rPr>
                <w:rFonts w:cs="Calibri"/>
                <w:sz w:val="20"/>
                <w:szCs w:val="20"/>
              </w:rPr>
            </w:pPr>
            <w:r>
              <w:rPr>
                <w:rFonts w:cs="Calibri"/>
                <w:sz w:val="20"/>
                <w:szCs w:val="20"/>
              </w:rPr>
              <w:t>Streptococcal sore throat (including scarlet fever)</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Exclude until the person has received antibiotic treatment for at least 24 hours and feels well</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322533" w:rsidP="00562E69">
            <w:pPr>
              <w:pStyle w:val="ListParagraph"/>
              <w:tabs>
                <w:tab w:val="left" w:pos="851"/>
              </w:tabs>
              <w:ind w:left="0"/>
              <w:rPr>
                <w:rFonts w:cs="Calibri"/>
                <w:sz w:val="20"/>
                <w:szCs w:val="20"/>
              </w:rPr>
            </w:pPr>
            <w:r>
              <w:rPr>
                <w:rFonts w:cs="Calibri"/>
                <w:sz w:val="20"/>
                <w:szCs w:val="20"/>
              </w:rPr>
              <w:t>Toxoplasmosis</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Not excluded</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322533" w:rsidP="00562E69">
            <w:pPr>
              <w:pStyle w:val="ListParagraph"/>
              <w:tabs>
                <w:tab w:val="left" w:pos="851"/>
              </w:tabs>
              <w:ind w:left="0"/>
              <w:rPr>
                <w:rFonts w:cs="Calibri"/>
                <w:sz w:val="20"/>
                <w:szCs w:val="20"/>
              </w:rPr>
            </w:pPr>
            <w:r>
              <w:rPr>
                <w:rFonts w:cs="Calibri"/>
                <w:sz w:val="20"/>
                <w:szCs w:val="20"/>
              </w:rPr>
              <w:t>Tuberculosis</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Exclude until medical certificate is produced from appropriate health authority</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Not excluded</w:t>
            </w:r>
          </w:p>
          <w:p w:rsidR="00322533" w:rsidRDefault="00322533" w:rsidP="00562E69">
            <w:pPr>
              <w:pStyle w:val="ListParagraph"/>
              <w:tabs>
                <w:tab w:val="left" w:pos="851"/>
              </w:tabs>
              <w:ind w:left="0"/>
              <w:rPr>
                <w:rFonts w:cs="Calibri"/>
                <w:sz w:val="20"/>
                <w:szCs w:val="20"/>
              </w:rPr>
            </w:pPr>
            <w:r>
              <w:rPr>
                <w:rFonts w:cs="Calibri"/>
                <w:sz w:val="20"/>
                <w:szCs w:val="20"/>
              </w:rPr>
              <w:t>Contact a public health unit for specialist advice about screening, antibiotics or specialist TB clinics</w:t>
            </w:r>
          </w:p>
        </w:tc>
      </w:tr>
      <w:tr w:rsidR="00D645D6" w:rsidTr="00827E8E">
        <w:tc>
          <w:tcPr>
            <w:tcW w:w="3080" w:type="dxa"/>
          </w:tcPr>
          <w:p w:rsidR="00827E8E" w:rsidRDefault="00322533" w:rsidP="00562E69">
            <w:pPr>
              <w:pStyle w:val="ListParagraph"/>
              <w:tabs>
                <w:tab w:val="left" w:pos="851"/>
              </w:tabs>
              <w:ind w:left="0"/>
              <w:rPr>
                <w:rFonts w:cs="Calibri"/>
                <w:sz w:val="20"/>
                <w:szCs w:val="20"/>
              </w:rPr>
            </w:pPr>
            <w:r>
              <w:rPr>
                <w:rFonts w:cs="Calibri"/>
                <w:sz w:val="20"/>
                <w:szCs w:val="20"/>
              </w:rPr>
              <w:t>Varicella (chicken pox)</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Exclude until all blisters have dried- this is usually at least 5 days after the rash first appeared in non-immunised children, an less in immunised children</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 xml:space="preserve">Any child with an immune deficiency )for example, leukaemia) or receiving chemotherapy should be excluded for their own protection as they are at high risk of developing severe disease </w:t>
            </w:r>
          </w:p>
          <w:p w:rsidR="00322533" w:rsidRDefault="00322533" w:rsidP="00562E69">
            <w:pPr>
              <w:pStyle w:val="ListParagraph"/>
              <w:tabs>
                <w:tab w:val="left" w:pos="851"/>
              </w:tabs>
              <w:ind w:left="0"/>
              <w:rPr>
                <w:rFonts w:cs="Calibri"/>
                <w:sz w:val="20"/>
                <w:szCs w:val="20"/>
              </w:rPr>
            </w:pPr>
            <w:r>
              <w:rPr>
                <w:rFonts w:cs="Calibri"/>
                <w:sz w:val="20"/>
                <w:szCs w:val="20"/>
              </w:rPr>
              <w:t>Otherwise not excluded</w:t>
            </w:r>
          </w:p>
        </w:tc>
      </w:tr>
      <w:tr w:rsidR="00D645D6" w:rsidTr="00827E8E">
        <w:tc>
          <w:tcPr>
            <w:tcW w:w="3080" w:type="dxa"/>
          </w:tcPr>
          <w:p w:rsidR="00827E8E" w:rsidRDefault="00322533" w:rsidP="00562E69">
            <w:pPr>
              <w:pStyle w:val="ListParagraph"/>
              <w:tabs>
                <w:tab w:val="left" w:pos="851"/>
              </w:tabs>
              <w:ind w:left="0"/>
              <w:rPr>
                <w:rFonts w:cs="Calibri"/>
                <w:sz w:val="20"/>
                <w:szCs w:val="20"/>
              </w:rPr>
            </w:pPr>
            <w:r>
              <w:rPr>
                <w:rFonts w:cs="Calibri"/>
                <w:sz w:val="20"/>
                <w:szCs w:val="20"/>
              </w:rPr>
              <w:t xml:space="preserve">Viral gastroenteritis (viral diarrhoea) </w:t>
            </w:r>
          </w:p>
        </w:tc>
        <w:tc>
          <w:tcPr>
            <w:tcW w:w="3081" w:type="dxa"/>
          </w:tcPr>
          <w:p w:rsidR="00827E8E" w:rsidRPr="00804C19" w:rsidRDefault="00322533" w:rsidP="00562E69">
            <w:pPr>
              <w:pStyle w:val="ListParagraph"/>
              <w:tabs>
                <w:tab w:val="left" w:pos="851"/>
              </w:tabs>
              <w:ind w:left="0"/>
              <w:rPr>
                <w:rFonts w:cs="Calibri"/>
                <w:sz w:val="16"/>
                <w:szCs w:val="16"/>
              </w:rPr>
            </w:pPr>
            <w:r>
              <w:rPr>
                <w:rFonts w:cs="Calibri"/>
                <w:sz w:val="20"/>
                <w:szCs w:val="20"/>
              </w:rPr>
              <w:t>Exclude until there has not been a loose bowel motion for 24 hrs</w:t>
            </w:r>
            <w:r w:rsidR="00804C19">
              <w:rPr>
                <w:rFonts w:cs="Calibri"/>
                <w:sz w:val="20"/>
                <w:szCs w:val="20"/>
              </w:rPr>
              <w:t xml:space="preserve"> </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Not excluded</w:t>
            </w:r>
          </w:p>
        </w:tc>
      </w:tr>
      <w:tr w:rsidR="00D645D6" w:rsidTr="00827E8E">
        <w:tc>
          <w:tcPr>
            <w:tcW w:w="3080" w:type="dxa"/>
          </w:tcPr>
          <w:p w:rsidR="00827E8E" w:rsidRDefault="00322533" w:rsidP="00562E69">
            <w:pPr>
              <w:pStyle w:val="ListParagraph"/>
              <w:tabs>
                <w:tab w:val="left" w:pos="851"/>
              </w:tabs>
              <w:ind w:left="0"/>
              <w:rPr>
                <w:rFonts w:cs="Calibri"/>
                <w:sz w:val="20"/>
                <w:szCs w:val="20"/>
              </w:rPr>
            </w:pPr>
            <w:r>
              <w:rPr>
                <w:rFonts w:cs="Calibri"/>
                <w:sz w:val="20"/>
                <w:szCs w:val="20"/>
              </w:rPr>
              <w:t>Worms</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t xml:space="preserve">Exclude if loose bowel motions are occurring </w:t>
            </w:r>
          </w:p>
          <w:p w:rsidR="00322533" w:rsidRDefault="00322533" w:rsidP="00562E69">
            <w:pPr>
              <w:pStyle w:val="ListParagraph"/>
              <w:tabs>
                <w:tab w:val="left" w:pos="851"/>
              </w:tabs>
              <w:ind w:left="0"/>
              <w:rPr>
                <w:rFonts w:cs="Calibri"/>
                <w:sz w:val="20"/>
                <w:szCs w:val="20"/>
              </w:rPr>
            </w:pPr>
            <w:r>
              <w:rPr>
                <w:rFonts w:cs="Calibri"/>
                <w:sz w:val="20"/>
                <w:szCs w:val="20"/>
              </w:rPr>
              <w:lastRenderedPageBreak/>
              <w:t>Exclusion is not necessary if treatment has occurred</w:t>
            </w:r>
          </w:p>
        </w:tc>
        <w:tc>
          <w:tcPr>
            <w:tcW w:w="3081" w:type="dxa"/>
          </w:tcPr>
          <w:p w:rsidR="00827E8E" w:rsidRDefault="00322533" w:rsidP="00562E69">
            <w:pPr>
              <w:pStyle w:val="ListParagraph"/>
              <w:tabs>
                <w:tab w:val="left" w:pos="851"/>
              </w:tabs>
              <w:ind w:left="0"/>
              <w:rPr>
                <w:rFonts w:cs="Calibri"/>
                <w:sz w:val="20"/>
                <w:szCs w:val="20"/>
              </w:rPr>
            </w:pPr>
            <w:r>
              <w:rPr>
                <w:rFonts w:cs="Calibri"/>
                <w:sz w:val="20"/>
                <w:szCs w:val="20"/>
              </w:rPr>
              <w:lastRenderedPageBreak/>
              <w:t>Exclude until there has not been a loose bowel motion for 24 hrs</w:t>
            </w:r>
          </w:p>
        </w:tc>
      </w:tr>
    </w:tbl>
    <w:p w:rsidR="00562E69" w:rsidRPr="00827E8E" w:rsidRDefault="00827E8E" w:rsidP="00562E69">
      <w:pPr>
        <w:pStyle w:val="ListParagraph"/>
        <w:tabs>
          <w:tab w:val="left" w:pos="851"/>
        </w:tabs>
        <w:ind w:left="750"/>
        <w:rPr>
          <w:rFonts w:cs="Calibri"/>
          <w:sz w:val="20"/>
          <w:szCs w:val="20"/>
        </w:rPr>
      </w:pPr>
      <w:r>
        <w:rPr>
          <w:rFonts w:cs="Calibri"/>
          <w:sz w:val="20"/>
          <w:szCs w:val="20"/>
        </w:rPr>
        <w:lastRenderedPageBreak/>
        <w:t xml:space="preserve"> </w:t>
      </w:r>
    </w:p>
    <w:p w:rsidR="000D3F5F" w:rsidRDefault="000D3F5F" w:rsidP="00A24B11">
      <w:pPr>
        <w:tabs>
          <w:tab w:val="left" w:pos="851"/>
        </w:tabs>
        <w:ind w:left="851" w:hanging="851"/>
        <w:rPr>
          <w:rFonts w:ascii="Calibri" w:hAnsi="Calibri" w:cs="Calibri"/>
          <w:sz w:val="20"/>
          <w:szCs w:val="20"/>
        </w:rPr>
      </w:pPr>
      <w:r>
        <w:rPr>
          <w:rFonts w:ascii="Calibri" w:hAnsi="Calibri" w:cs="Calibri"/>
          <w:sz w:val="20"/>
          <w:szCs w:val="20"/>
        </w:rPr>
        <w:t xml:space="preserve">When an infectious disease is present in the centre, families will be notified via notices in each room, the </w:t>
      </w:r>
      <w:r w:rsidRPr="006A3B82">
        <w:rPr>
          <w:rFonts w:ascii="Calibri" w:hAnsi="Calibri" w:cs="Calibri"/>
          <w:sz w:val="20"/>
          <w:szCs w:val="20"/>
          <w:u w:val="single"/>
        </w:rPr>
        <w:t>Health, Nutrition and Wellbeing Display in the reception foyer or by individual notices,</w:t>
      </w:r>
      <w:r>
        <w:rPr>
          <w:rFonts w:ascii="Calibri" w:hAnsi="Calibri" w:cs="Calibri"/>
          <w:sz w:val="20"/>
          <w:szCs w:val="20"/>
        </w:rPr>
        <w:t xml:space="preserve"> and given information about symptoms and exclusion periods.</w:t>
      </w:r>
    </w:p>
    <w:p w:rsidR="000D3F5F" w:rsidRDefault="000D3F5F" w:rsidP="00A24B11">
      <w:pPr>
        <w:tabs>
          <w:tab w:val="left" w:pos="851"/>
        </w:tabs>
        <w:ind w:left="851" w:hanging="851"/>
        <w:rPr>
          <w:rFonts w:ascii="Calibri" w:hAnsi="Calibri" w:cs="Calibri"/>
          <w:sz w:val="20"/>
          <w:szCs w:val="20"/>
        </w:rPr>
      </w:pPr>
      <w:r>
        <w:rPr>
          <w:rFonts w:ascii="Calibri" w:hAnsi="Calibri" w:cs="Calibri"/>
          <w:sz w:val="20"/>
          <w:szCs w:val="20"/>
        </w:rPr>
        <w:t>If educators suspect a child has an infectious disease, families will be asked to collect their child from care and further medical advice is recommended for an accurate diagnosis.</w:t>
      </w:r>
    </w:p>
    <w:p w:rsidR="000D3F5F" w:rsidRDefault="000D3F5F" w:rsidP="00A24B11">
      <w:pPr>
        <w:tabs>
          <w:tab w:val="left" w:pos="851"/>
        </w:tabs>
        <w:ind w:left="851" w:hanging="851"/>
        <w:rPr>
          <w:rFonts w:ascii="Calibri" w:hAnsi="Calibri" w:cs="Calibri"/>
          <w:sz w:val="20"/>
          <w:szCs w:val="20"/>
        </w:rPr>
      </w:pPr>
      <w:r>
        <w:rPr>
          <w:rFonts w:ascii="Calibri" w:hAnsi="Calibri" w:cs="Calibri"/>
          <w:sz w:val="20"/>
          <w:szCs w:val="20"/>
        </w:rPr>
        <w:t>If a child is unwell at home families are asked to not bring the child into care. Families should notify the centre if their child is diagnosed with or suspected of having an infectious disease.</w:t>
      </w:r>
    </w:p>
    <w:p w:rsidR="000D3F5F" w:rsidRDefault="000D3F5F" w:rsidP="00A24B11">
      <w:pPr>
        <w:tabs>
          <w:tab w:val="left" w:pos="851"/>
        </w:tabs>
        <w:ind w:left="851" w:hanging="851"/>
        <w:rPr>
          <w:rFonts w:ascii="Calibri" w:hAnsi="Calibri" w:cs="Calibri"/>
          <w:sz w:val="20"/>
          <w:szCs w:val="20"/>
        </w:rPr>
      </w:pPr>
      <w:r>
        <w:rPr>
          <w:rFonts w:ascii="Calibri" w:hAnsi="Calibri" w:cs="Calibri"/>
          <w:sz w:val="20"/>
          <w:szCs w:val="20"/>
        </w:rPr>
        <w:t>If an educator is unwell they should not report to work. Educators should contact the centre or the Director/Assistant Director at the earliest possible time to advise of their inability to report to work.</w:t>
      </w:r>
    </w:p>
    <w:p w:rsidR="000D3F5F" w:rsidRDefault="000D3F5F" w:rsidP="00A24B11">
      <w:pPr>
        <w:tabs>
          <w:tab w:val="left" w:pos="851"/>
        </w:tabs>
        <w:ind w:left="851" w:hanging="851"/>
        <w:rPr>
          <w:rFonts w:ascii="Calibri" w:hAnsi="Calibri" w:cs="Calibri"/>
          <w:sz w:val="20"/>
          <w:szCs w:val="20"/>
        </w:rPr>
      </w:pPr>
      <w:r>
        <w:rPr>
          <w:rFonts w:ascii="Calibri" w:hAnsi="Calibri" w:cs="Calibri"/>
          <w:sz w:val="20"/>
          <w:szCs w:val="20"/>
        </w:rPr>
        <w:t xml:space="preserve">In the case of serious ill health or hospitalisation, the child or educator will require a medical certificate </w:t>
      </w:r>
      <w:r w:rsidR="006A3B82">
        <w:rPr>
          <w:rFonts w:ascii="Calibri" w:hAnsi="Calibri" w:cs="Calibri"/>
          <w:sz w:val="20"/>
          <w:szCs w:val="20"/>
        </w:rPr>
        <w:t>from their medical practitioner</w:t>
      </w:r>
      <w:r>
        <w:rPr>
          <w:rFonts w:ascii="Calibri" w:hAnsi="Calibri" w:cs="Calibri"/>
          <w:sz w:val="20"/>
          <w:szCs w:val="20"/>
        </w:rPr>
        <w:t xml:space="preserve"> or specialist, verifying their recovery is sufficient to enable their return to the centre.</w:t>
      </w:r>
    </w:p>
    <w:p w:rsidR="000D3F5F" w:rsidRDefault="000D3F5F" w:rsidP="00A24B11">
      <w:pPr>
        <w:tabs>
          <w:tab w:val="left" w:pos="851"/>
        </w:tabs>
        <w:ind w:left="851" w:hanging="851"/>
        <w:rPr>
          <w:rFonts w:ascii="Calibri" w:hAnsi="Calibri" w:cs="Calibri"/>
          <w:b/>
          <w:sz w:val="20"/>
          <w:szCs w:val="20"/>
        </w:rPr>
      </w:pPr>
      <w:r>
        <w:rPr>
          <w:rFonts w:ascii="Calibri" w:hAnsi="Calibri" w:cs="Calibri"/>
          <w:b/>
          <w:sz w:val="20"/>
          <w:szCs w:val="20"/>
        </w:rPr>
        <w:t>SICK CHILDREN</w:t>
      </w:r>
    </w:p>
    <w:p w:rsidR="000D3F5F" w:rsidRDefault="000D3F5F" w:rsidP="00A24B11">
      <w:pPr>
        <w:tabs>
          <w:tab w:val="left" w:pos="851"/>
        </w:tabs>
        <w:ind w:left="851" w:hanging="851"/>
        <w:rPr>
          <w:rFonts w:ascii="Calibri" w:hAnsi="Calibri" w:cs="Calibri"/>
          <w:sz w:val="20"/>
          <w:szCs w:val="20"/>
        </w:rPr>
      </w:pPr>
      <w:r>
        <w:rPr>
          <w:rFonts w:ascii="Calibri" w:hAnsi="Calibri" w:cs="Calibri"/>
          <w:sz w:val="20"/>
          <w:szCs w:val="20"/>
        </w:rPr>
        <w:t>The best place for sick children is at home. As a general rule, children should not be brought into the centre unless they are able to cope with normal child care routines and activities.</w:t>
      </w:r>
    </w:p>
    <w:p w:rsidR="00FC6A7E" w:rsidRDefault="000D3F5F" w:rsidP="00A24B11">
      <w:pPr>
        <w:tabs>
          <w:tab w:val="left" w:pos="851"/>
        </w:tabs>
        <w:ind w:left="851" w:hanging="851"/>
        <w:rPr>
          <w:rFonts w:ascii="Calibri" w:hAnsi="Calibri" w:cs="Calibri"/>
          <w:sz w:val="20"/>
          <w:szCs w:val="20"/>
        </w:rPr>
      </w:pPr>
      <w:r>
        <w:rPr>
          <w:rFonts w:ascii="Calibri" w:hAnsi="Calibri" w:cs="Calibri"/>
          <w:sz w:val="20"/>
          <w:szCs w:val="20"/>
        </w:rPr>
        <w:t xml:space="preserve">If a child becomes unwell whilst at the centre the family </w:t>
      </w:r>
      <w:r w:rsidR="00FC6A7E">
        <w:rPr>
          <w:rFonts w:ascii="Calibri" w:hAnsi="Calibri" w:cs="Calibri"/>
          <w:sz w:val="20"/>
          <w:szCs w:val="20"/>
        </w:rPr>
        <w:t>(or emergency contact if an immediate family member cannot be contacted) will be notified and asked to collect the child. The child will be made comfortable and, if possible, separated from the other children until a family member or emergency contact arrives. If educators consider it necessary, emergency medical advice/treatment will be sought.</w:t>
      </w:r>
    </w:p>
    <w:p w:rsidR="00FC6A7E" w:rsidRDefault="00FC6A7E" w:rsidP="00A24B11">
      <w:pPr>
        <w:tabs>
          <w:tab w:val="left" w:pos="851"/>
        </w:tabs>
        <w:ind w:left="851" w:hanging="851"/>
        <w:rPr>
          <w:rFonts w:ascii="Calibri" w:hAnsi="Calibri" w:cs="Calibri"/>
          <w:sz w:val="20"/>
          <w:szCs w:val="20"/>
        </w:rPr>
      </w:pPr>
    </w:p>
    <w:p w:rsidR="00FC6A7E" w:rsidRDefault="00FC6A7E" w:rsidP="00FC6A7E">
      <w:pPr>
        <w:tabs>
          <w:tab w:val="left" w:pos="851"/>
        </w:tabs>
        <w:rPr>
          <w:rFonts w:cs="Calibri"/>
          <w:sz w:val="20"/>
          <w:szCs w:val="20"/>
        </w:rPr>
      </w:pPr>
      <w:r>
        <w:rPr>
          <w:rFonts w:ascii="Calibri" w:hAnsi="Calibri" w:cs="Calibri"/>
          <w:b/>
          <w:sz w:val="20"/>
          <w:szCs w:val="20"/>
        </w:rPr>
        <w:t xml:space="preserve">Source </w:t>
      </w:r>
      <w:r>
        <w:rPr>
          <w:rFonts w:ascii="Calibri" w:hAnsi="Calibri" w:cs="Calibri"/>
          <w:sz w:val="20"/>
          <w:szCs w:val="20"/>
        </w:rPr>
        <w:t xml:space="preserve">  </w:t>
      </w:r>
      <w:r w:rsidR="006A3B82">
        <w:rPr>
          <w:rFonts w:cs="Calibri"/>
          <w:sz w:val="20"/>
          <w:szCs w:val="20"/>
        </w:rPr>
        <w:t>Staying Healthy in Child Care</w:t>
      </w:r>
      <w:r>
        <w:rPr>
          <w:rFonts w:cs="Calibri"/>
          <w:sz w:val="20"/>
          <w:szCs w:val="20"/>
        </w:rPr>
        <w:t xml:space="preserve"> - 5th edition 2012</w:t>
      </w:r>
    </w:p>
    <w:p w:rsidR="00FC6A7E" w:rsidRDefault="00FC6A7E" w:rsidP="00FC6A7E">
      <w:pPr>
        <w:tabs>
          <w:tab w:val="left" w:pos="851"/>
        </w:tabs>
        <w:rPr>
          <w:rFonts w:cs="Calibri"/>
          <w:sz w:val="20"/>
          <w:szCs w:val="20"/>
        </w:rPr>
      </w:pPr>
      <w:r>
        <w:rPr>
          <w:rFonts w:cs="Calibri"/>
          <w:sz w:val="20"/>
          <w:szCs w:val="20"/>
        </w:rPr>
        <w:t xml:space="preserve">                www.nhrmc.gov.au</w:t>
      </w:r>
    </w:p>
    <w:p w:rsidR="00FC6A7E" w:rsidRDefault="00FC6A7E" w:rsidP="00FC6A7E">
      <w:pPr>
        <w:tabs>
          <w:tab w:val="left" w:pos="851"/>
        </w:tabs>
        <w:rPr>
          <w:rFonts w:cs="Calibri"/>
          <w:sz w:val="20"/>
          <w:szCs w:val="20"/>
        </w:rPr>
      </w:pPr>
      <w:r>
        <w:rPr>
          <w:rFonts w:cs="Calibri"/>
          <w:sz w:val="20"/>
          <w:szCs w:val="20"/>
        </w:rPr>
        <w:t xml:space="preserve">                Health (Infectious Diseases) Regulations 2001</w:t>
      </w:r>
    </w:p>
    <w:p w:rsidR="00FC6A7E" w:rsidRDefault="00FC6A7E" w:rsidP="00FC6A7E">
      <w:pPr>
        <w:tabs>
          <w:tab w:val="left" w:pos="851"/>
        </w:tabs>
        <w:rPr>
          <w:rFonts w:cs="Calibri"/>
          <w:sz w:val="20"/>
          <w:szCs w:val="20"/>
        </w:rPr>
      </w:pPr>
      <w:r>
        <w:rPr>
          <w:rFonts w:cs="Calibri"/>
          <w:sz w:val="20"/>
          <w:szCs w:val="20"/>
        </w:rPr>
        <w:t xml:space="preserve">                www.health.vic.gov.au/headlice/downloads/infectious_diseases_regulations.pdf</w:t>
      </w:r>
    </w:p>
    <w:p w:rsidR="00FC6A7E" w:rsidRDefault="00FC6A7E" w:rsidP="00FC6A7E">
      <w:pPr>
        <w:tabs>
          <w:tab w:val="left" w:pos="851"/>
        </w:tabs>
        <w:rPr>
          <w:rFonts w:cs="Calibri"/>
          <w:sz w:val="20"/>
          <w:szCs w:val="20"/>
        </w:rPr>
      </w:pPr>
      <w:r>
        <w:rPr>
          <w:rFonts w:cs="Calibri"/>
          <w:sz w:val="20"/>
          <w:szCs w:val="20"/>
        </w:rPr>
        <w:t xml:space="preserve">                Australian Children's Education and Care Quality Authority ACECQA 2012</w:t>
      </w:r>
    </w:p>
    <w:p w:rsidR="00FC6A7E" w:rsidRDefault="00FC6A7E" w:rsidP="00FC6A7E">
      <w:pPr>
        <w:tabs>
          <w:tab w:val="left" w:pos="851"/>
        </w:tabs>
        <w:rPr>
          <w:rFonts w:cs="Calibri"/>
          <w:sz w:val="20"/>
          <w:szCs w:val="20"/>
        </w:rPr>
      </w:pPr>
      <w:r>
        <w:rPr>
          <w:rFonts w:cs="Calibri"/>
          <w:sz w:val="20"/>
          <w:szCs w:val="20"/>
        </w:rPr>
        <w:t xml:space="preserve">                www.acecqa.gov.au</w:t>
      </w:r>
    </w:p>
    <w:p w:rsidR="00FC6A7E" w:rsidRDefault="00FC6A7E" w:rsidP="00FC6A7E">
      <w:pPr>
        <w:tabs>
          <w:tab w:val="left" w:pos="851"/>
        </w:tabs>
        <w:rPr>
          <w:rFonts w:cs="Calibri"/>
          <w:sz w:val="20"/>
          <w:szCs w:val="20"/>
        </w:rPr>
      </w:pPr>
      <w:r>
        <w:rPr>
          <w:rFonts w:cs="Calibri"/>
          <w:sz w:val="20"/>
          <w:szCs w:val="20"/>
        </w:rPr>
        <w:t xml:space="preserve">                National Quality Framework and </w:t>
      </w:r>
      <w:proofErr w:type="gramStart"/>
      <w:r>
        <w:rPr>
          <w:rFonts w:cs="Calibri"/>
          <w:sz w:val="20"/>
          <w:szCs w:val="20"/>
        </w:rPr>
        <w:t>Standards  -</w:t>
      </w:r>
      <w:proofErr w:type="gramEnd"/>
      <w:r>
        <w:rPr>
          <w:rFonts w:cs="Calibri"/>
          <w:sz w:val="20"/>
          <w:szCs w:val="20"/>
        </w:rPr>
        <w:t xml:space="preserve"> 2012</w:t>
      </w:r>
    </w:p>
    <w:p w:rsidR="00FC6A7E" w:rsidRDefault="00FC6A7E" w:rsidP="00FC6A7E">
      <w:pPr>
        <w:tabs>
          <w:tab w:val="left" w:pos="851"/>
        </w:tabs>
        <w:rPr>
          <w:rFonts w:cs="Calibri"/>
          <w:sz w:val="20"/>
          <w:szCs w:val="20"/>
        </w:rPr>
      </w:pPr>
      <w:r>
        <w:rPr>
          <w:rFonts w:cs="Calibri"/>
          <w:sz w:val="20"/>
          <w:szCs w:val="20"/>
        </w:rPr>
        <w:t xml:space="preserve">                </w:t>
      </w:r>
      <w:hyperlink r:id="rId7" w:history="1">
        <w:r w:rsidR="002F67DE" w:rsidRPr="00701895">
          <w:rPr>
            <w:rStyle w:val="Hyperlink"/>
            <w:rFonts w:cs="Calibri"/>
            <w:sz w:val="20"/>
            <w:szCs w:val="20"/>
          </w:rPr>
          <w:t>www.acecqa.gov.au/national-quality-framework/national-quality-standard/</w:t>
        </w:r>
      </w:hyperlink>
    </w:p>
    <w:p w:rsidR="006A3B82" w:rsidRDefault="006A3B82" w:rsidP="002F67DE">
      <w:pPr>
        <w:rPr>
          <w:b/>
          <w:sz w:val="20"/>
          <w:szCs w:val="20"/>
        </w:rPr>
      </w:pPr>
    </w:p>
    <w:p w:rsidR="006A3B82" w:rsidRDefault="006A3B82" w:rsidP="002F67DE">
      <w:pPr>
        <w:rPr>
          <w:b/>
          <w:sz w:val="20"/>
          <w:szCs w:val="20"/>
        </w:rPr>
      </w:pPr>
    </w:p>
    <w:p w:rsidR="006A3B82" w:rsidRDefault="006A3B82" w:rsidP="002F67DE">
      <w:pPr>
        <w:rPr>
          <w:b/>
          <w:sz w:val="20"/>
          <w:szCs w:val="20"/>
        </w:rPr>
      </w:pPr>
      <w:bookmarkStart w:id="0" w:name="_GoBack"/>
      <w:bookmarkEnd w:id="0"/>
    </w:p>
    <w:p w:rsidR="002F67DE" w:rsidRDefault="002F67DE" w:rsidP="002F67DE">
      <w:pPr>
        <w:rPr>
          <w:b/>
          <w:sz w:val="20"/>
          <w:szCs w:val="20"/>
        </w:rPr>
      </w:pPr>
      <w:r>
        <w:rPr>
          <w:b/>
          <w:sz w:val="20"/>
          <w:szCs w:val="20"/>
        </w:rPr>
        <w:lastRenderedPageBreak/>
        <w:t>Review</w:t>
      </w:r>
    </w:p>
    <w:p w:rsidR="002F67DE" w:rsidRDefault="002F67DE" w:rsidP="002F67DE">
      <w:pPr>
        <w:rPr>
          <w:rFonts w:cs="Calibri"/>
          <w:sz w:val="20"/>
          <w:szCs w:val="20"/>
        </w:rPr>
      </w:pPr>
      <w:r>
        <w:rPr>
          <w:rFonts w:cs="Calibri"/>
          <w:sz w:val="20"/>
          <w:szCs w:val="20"/>
        </w:rPr>
        <w:t>The policy will be reviewed annually</w:t>
      </w:r>
    </w:p>
    <w:p w:rsidR="002F67DE" w:rsidRDefault="002F67DE" w:rsidP="002F67DE">
      <w:pPr>
        <w:rPr>
          <w:rFonts w:cs="Times New Roman"/>
          <w:sz w:val="20"/>
          <w:szCs w:val="20"/>
        </w:rPr>
      </w:pPr>
      <w:r>
        <w:rPr>
          <w:sz w:val="20"/>
          <w:szCs w:val="20"/>
        </w:rPr>
        <w:t>The review will be conducted by:</w:t>
      </w:r>
    </w:p>
    <w:p w:rsidR="002F67DE" w:rsidRDefault="002F67DE" w:rsidP="002F67DE">
      <w:pPr>
        <w:numPr>
          <w:ilvl w:val="0"/>
          <w:numId w:val="2"/>
        </w:numPr>
        <w:rPr>
          <w:sz w:val="20"/>
          <w:szCs w:val="20"/>
        </w:rPr>
      </w:pPr>
      <w:r>
        <w:rPr>
          <w:sz w:val="20"/>
          <w:szCs w:val="20"/>
        </w:rPr>
        <w:t>Management</w:t>
      </w:r>
    </w:p>
    <w:p w:rsidR="002F67DE" w:rsidRDefault="002F67DE" w:rsidP="002F67DE">
      <w:pPr>
        <w:numPr>
          <w:ilvl w:val="0"/>
          <w:numId w:val="2"/>
        </w:numPr>
        <w:rPr>
          <w:sz w:val="20"/>
          <w:szCs w:val="20"/>
        </w:rPr>
      </w:pPr>
      <w:r>
        <w:rPr>
          <w:sz w:val="20"/>
          <w:szCs w:val="20"/>
        </w:rPr>
        <w:t>Employees</w:t>
      </w:r>
    </w:p>
    <w:p w:rsidR="002F67DE" w:rsidRDefault="002F67DE" w:rsidP="002F67DE">
      <w:pPr>
        <w:numPr>
          <w:ilvl w:val="0"/>
          <w:numId w:val="2"/>
        </w:numPr>
        <w:rPr>
          <w:sz w:val="20"/>
          <w:szCs w:val="20"/>
        </w:rPr>
      </w:pPr>
      <w:r>
        <w:rPr>
          <w:sz w:val="20"/>
          <w:szCs w:val="20"/>
        </w:rPr>
        <w:t xml:space="preserve">Families </w:t>
      </w:r>
    </w:p>
    <w:p w:rsidR="002F67DE" w:rsidRDefault="002F67DE" w:rsidP="002F67DE">
      <w:pPr>
        <w:numPr>
          <w:ilvl w:val="0"/>
          <w:numId w:val="2"/>
        </w:numPr>
        <w:rPr>
          <w:sz w:val="20"/>
          <w:szCs w:val="20"/>
        </w:rPr>
      </w:pPr>
      <w:r>
        <w:rPr>
          <w:sz w:val="20"/>
          <w:szCs w:val="20"/>
        </w:rPr>
        <w:t>Interested Parties</w:t>
      </w:r>
    </w:p>
    <w:p w:rsidR="002F67DE" w:rsidRDefault="002F67DE" w:rsidP="002F67DE">
      <w:pPr>
        <w:rPr>
          <w:rFonts w:cs="Calibri"/>
          <w:b/>
          <w:sz w:val="20"/>
          <w:szCs w:val="20"/>
        </w:rPr>
      </w:pPr>
    </w:p>
    <w:p w:rsidR="002F67DE" w:rsidRDefault="002F67DE" w:rsidP="002F67DE">
      <w:pPr>
        <w:rPr>
          <w:rFonts w:cs="Calibri"/>
          <w:b/>
          <w:sz w:val="20"/>
          <w:szCs w:val="20"/>
        </w:rPr>
      </w:pPr>
      <w:r>
        <w:rPr>
          <w:rFonts w:cs="Calibri"/>
          <w:b/>
          <w:sz w:val="20"/>
          <w:szCs w:val="20"/>
        </w:rPr>
        <w:t>Last reviewed: May 2014</w:t>
      </w:r>
      <w:r>
        <w:rPr>
          <w:rFonts w:cs="Calibri"/>
          <w:b/>
          <w:sz w:val="20"/>
          <w:szCs w:val="20"/>
        </w:rPr>
        <w:tab/>
        <w:t xml:space="preserve"> </w:t>
      </w:r>
    </w:p>
    <w:p w:rsidR="002F67DE" w:rsidRPr="006A3B82" w:rsidRDefault="006A3B82" w:rsidP="00FC6A7E">
      <w:pPr>
        <w:tabs>
          <w:tab w:val="left" w:pos="851"/>
        </w:tabs>
        <w:rPr>
          <w:rFonts w:cs="Calibri"/>
          <w:b/>
          <w:sz w:val="20"/>
          <w:szCs w:val="20"/>
        </w:rPr>
      </w:pPr>
      <w:r w:rsidRPr="006A3B82">
        <w:rPr>
          <w:rFonts w:cs="Calibri"/>
          <w:b/>
          <w:sz w:val="20"/>
          <w:szCs w:val="20"/>
        </w:rPr>
        <w:t>Updated October 2017</w:t>
      </w:r>
    </w:p>
    <w:p w:rsidR="000D3F5F" w:rsidRPr="000D3F5F" w:rsidRDefault="000D3F5F" w:rsidP="00A24B11">
      <w:pPr>
        <w:tabs>
          <w:tab w:val="left" w:pos="851"/>
        </w:tabs>
        <w:ind w:left="851" w:hanging="851"/>
        <w:rPr>
          <w:rFonts w:ascii="Calibri" w:hAnsi="Calibri" w:cs="Calibri"/>
          <w:sz w:val="20"/>
          <w:szCs w:val="20"/>
        </w:rPr>
      </w:pPr>
    </w:p>
    <w:p w:rsidR="00841D14" w:rsidRDefault="00841D14"/>
    <w:sectPr w:rsidR="00841D14" w:rsidSect="00841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709"/>
    <w:multiLevelType w:val="hybridMultilevel"/>
    <w:tmpl w:val="15606C5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Arial"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Arial"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Arial" w:hint="default"/>
      </w:rPr>
    </w:lvl>
    <w:lvl w:ilvl="8" w:tplc="0C090005">
      <w:start w:val="1"/>
      <w:numFmt w:val="bullet"/>
      <w:lvlText w:val=""/>
      <w:lvlJc w:val="left"/>
      <w:pPr>
        <w:ind w:left="6525" w:hanging="360"/>
      </w:pPr>
      <w:rPr>
        <w:rFonts w:ascii="Wingdings" w:hAnsi="Wingdings" w:hint="default"/>
      </w:rPr>
    </w:lvl>
  </w:abstractNum>
  <w:abstractNum w:abstractNumId="1">
    <w:nsid w:val="208E0F20"/>
    <w:multiLevelType w:val="hybridMultilevel"/>
    <w:tmpl w:val="D1820BD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11"/>
    <w:rsid w:val="000D3F5F"/>
    <w:rsid w:val="002F67DE"/>
    <w:rsid w:val="00322533"/>
    <w:rsid w:val="00343EBB"/>
    <w:rsid w:val="00552241"/>
    <w:rsid w:val="00562E69"/>
    <w:rsid w:val="006A3B82"/>
    <w:rsid w:val="00804C19"/>
    <w:rsid w:val="00827E8E"/>
    <w:rsid w:val="00841D14"/>
    <w:rsid w:val="009918AC"/>
    <w:rsid w:val="009F53F7"/>
    <w:rsid w:val="00A24B11"/>
    <w:rsid w:val="00AD31C8"/>
    <w:rsid w:val="00B81235"/>
    <w:rsid w:val="00B92E6E"/>
    <w:rsid w:val="00BE5EDD"/>
    <w:rsid w:val="00D645D6"/>
    <w:rsid w:val="00E82D27"/>
    <w:rsid w:val="00FC6A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E69"/>
    <w:pPr>
      <w:ind w:left="720"/>
      <w:contextualSpacing/>
    </w:pPr>
  </w:style>
  <w:style w:type="table" w:styleId="TableGrid">
    <w:name w:val="Table Grid"/>
    <w:basedOn w:val="TableNormal"/>
    <w:uiPriority w:val="59"/>
    <w:rsid w:val="00827E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F67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E69"/>
    <w:pPr>
      <w:ind w:left="720"/>
      <w:contextualSpacing/>
    </w:pPr>
  </w:style>
  <w:style w:type="table" w:styleId="TableGrid">
    <w:name w:val="Table Grid"/>
    <w:basedOn w:val="TableNormal"/>
    <w:uiPriority w:val="59"/>
    <w:rsid w:val="00827E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F6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3936">
      <w:bodyDiv w:val="1"/>
      <w:marLeft w:val="0"/>
      <w:marRight w:val="0"/>
      <w:marTop w:val="0"/>
      <w:marBottom w:val="0"/>
      <w:divBdr>
        <w:top w:val="none" w:sz="0" w:space="0" w:color="auto"/>
        <w:left w:val="none" w:sz="0" w:space="0" w:color="auto"/>
        <w:bottom w:val="none" w:sz="0" w:space="0" w:color="auto"/>
        <w:right w:val="none" w:sz="0" w:space="0" w:color="auto"/>
      </w:divBdr>
    </w:div>
    <w:div w:id="825634658">
      <w:bodyDiv w:val="1"/>
      <w:marLeft w:val="0"/>
      <w:marRight w:val="0"/>
      <w:marTop w:val="0"/>
      <w:marBottom w:val="0"/>
      <w:divBdr>
        <w:top w:val="none" w:sz="0" w:space="0" w:color="auto"/>
        <w:left w:val="none" w:sz="0" w:space="0" w:color="auto"/>
        <w:bottom w:val="none" w:sz="0" w:space="0" w:color="auto"/>
        <w:right w:val="none" w:sz="0" w:space="0" w:color="auto"/>
      </w:divBdr>
    </w:div>
    <w:div w:id="1441099766">
      <w:bodyDiv w:val="1"/>
      <w:marLeft w:val="0"/>
      <w:marRight w:val="0"/>
      <w:marTop w:val="0"/>
      <w:marBottom w:val="0"/>
      <w:divBdr>
        <w:top w:val="none" w:sz="0" w:space="0" w:color="auto"/>
        <w:left w:val="none" w:sz="0" w:space="0" w:color="auto"/>
        <w:bottom w:val="none" w:sz="0" w:space="0" w:color="auto"/>
        <w:right w:val="none" w:sz="0" w:space="0" w:color="auto"/>
      </w:divBdr>
    </w:div>
    <w:div w:id="18411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ecqa.gov.au/national-quality-framework/national-quality-stand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9A5F-7438-466D-A33A-BE0078CE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maxlucanchanny</dc:creator>
  <cp:lastModifiedBy>Kindy</cp:lastModifiedBy>
  <cp:revision>2</cp:revision>
  <cp:lastPrinted>2016-05-05T00:09:00Z</cp:lastPrinted>
  <dcterms:created xsi:type="dcterms:W3CDTF">2017-10-12T02:28:00Z</dcterms:created>
  <dcterms:modified xsi:type="dcterms:W3CDTF">2017-10-12T02:28:00Z</dcterms:modified>
</cp:coreProperties>
</file>